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3B1FF" w14:textId="2482DC93" w:rsidR="00D2710D" w:rsidRPr="00707D4E" w:rsidRDefault="008D2EB4" w:rsidP="00D2710D">
      <w:pPr>
        <w:suppressAutoHyphens/>
        <w:jc w:val="center"/>
        <w:outlineLvl w:val="0"/>
        <w:rPr>
          <w:szCs w:val="22"/>
        </w:rPr>
      </w:pPr>
      <w:r>
        <w:rPr>
          <w:sz w:val="52"/>
          <w:szCs w:val="52"/>
        </w:rPr>
        <w:t>Bay County Utility Services</w:t>
      </w:r>
    </w:p>
    <w:p w14:paraId="405074DB" w14:textId="77777777" w:rsidR="00D2710D" w:rsidRPr="002E5AA6" w:rsidRDefault="008D2EB4" w:rsidP="00D2710D">
      <w:pPr>
        <w:spacing w:after="120"/>
        <w:jc w:val="center"/>
        <w:outlineLvl w:val="0"/>
        <w:rPr>
          <w:sz w:val="48"/>
          <w:szCs w:val="48"/>
        </w:rPr>
      </w:pPr>
      <w:r>
        <w:rPr>
          <w:sz w:val="48"/>
          <w:szCs w:val="48"/>
        </w:rPr>
        <w:t>Steelfield Road Landfill</w:t>
      </w:r>
    </w:p>
    <w:p w14:paraId="699FBAB7" w14:textId="77777777"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8D2EB4">
        <w:rPr>
          <w:sz w:val="36"/>
          <w:szCs w:val="36"/>
        </w:rPr>
        <w:t>0050090</w:t>
      </w:r>
    </w:p>
    <w:p w14:paraId="2FCAF16C" w14:textId="77777777" w:rsidR="00D2710D" w:rsidRPr="002E5AA6" w:rsidRDefault="008D2EB4" w:rsidP="00D2710D">
      <w:pPr>
        <w:spacing w:line="240" w:lineRule="atLeast"/>
        <w:jc w:val="center"/>
        <w:outlineLvl w:val="0"/>
        <w:rPr>
          <w:sz w:val="36"/>
          <w:szCs w:val="36"/>
        </w:rPr>
      </w:pPr>
      <w:r w:rsidRPr="00DB0D86">
        <w:rPr>
          <w:sz w:val="36"/>
          <w:szCs w:val="36"/>
        </w:rPr>
        <w:t>Bay</w:t>
      </w:r>
      <w:r w:rsidR="00D2710D" w:rsidRPr="002E5AA6">
        <w:rPr>
          <w:sz w:val="36"/>
          <w:szCs w:val="36"/>
        </w:rPr>
        <w:t xml:space="preserve"> County</w:t>
      </w:r>
    </w:p>
    <w:p w14:paraId="179C8824" w14:textId="77777777" w:rsidR="00D2710D" w:rsidRPr="00E210D2" w:rsidRDefault="00D2710D" w:rsidP="00D2710D">
      <w:pPr>
        <w:pStyle w:val="Heading4"/>
        <w:spacing w:after="120"/>
        <w:jc w:val="center"/>
        <w:rPr>
          <w:b w:val="0"/>
          <w:sz w:val="36"/>
          <w:szCs w:val="36"/>
        </w:rPr>
      </w:pPr>
      <w:r w:rsidRPr="00E210D2">
        <w:rPr>
          <w:b w:val="0"/>
          <w:sz w:val="36"/>
          <w:szCs w:val="36"/>
        </w:rPr>
        <w:t xml:space="preserve">Title V Air Operation Permit </w:t>
      </w:r>
      <w:r w:rsidRPr="00DB0D86">
        <w:rPr>
          <w:b w:val="0"/>
          <w:sz w:val="36"/>
          <w:szCs w:val="36"/>
        </w:rPr>
        <w:t>Renewal</w:t>
      </w:r>
    </w:p>
    <w:p w14:paraId="6B1F80A0" w14:textId="77777777" w:rsidR="00D2710D" w:rsidRDefault="00D2710D" w:rsidP="00D2710D">
      <w:pPr>
        <w:pStyle w:val="Heading4"/>
        <w:jc w:val="center"/>
        <w:rPr>
          <w:bCs w:val="0"/>
        </w:rPr>
      </w:pPr>
      <w:r w:rsidRPr="00DB0D86">
        <w:t xml:space="preserve">Permit No. </w:t>
      </w:r>
      <w:r w:rsidR="00DB0D86">
        <w:rPr>
          <w:bCs w:val="0"/>
        </w:rPr>
        <w:t>0050090</w:t>
      </w:r>
      <w:r w:rsidRPr="00DB0D86">
        <w:rPr>
          <w:bCs w:val="0"/>
        </w:rPr>
        <w:t>-</w:t>
      </w:r>
      <w:r w:rsidR="00DB0D86">
        <w:rPr>
          <w:bCs w:val="0"/>
        </w:rPr>
        <w:t>003</w:t>
      </w:r>
      <w:r w:rsidRPr="00DB0D86">
        <w:rPr>
          <w:bCs w:val="0"/>
        </w:rPr>
        <w:t>-AV</w:t>
      </w:r>
    </w:p>
    <w:p w14:paraId="32967921" w14:textId="77777777" w:rsidR="00D2710D" w:rsidRDefault="00D2710D" w:rsidP="006B47E9">
      <w:pPr>
        <w:spacing w:after="120"/>
        <w:jc w:val="center"/>
        <w:rPr>
          <w:sz w:val="24"/>
        </w:rPr>
      </w:pPr>
      <w:r>
        <w:rPr>
          <w:sz w:val="24"/>
        </w:rPr>
        <w:t>(</w:t>
      </w:r>
      <w:r w:rsidRPr="00CB0DAA">
        <w:rPr>
          <w:sz w:val="24"/>
        </w:rPr>
        <w:t>Renewal</w:t>
      </w:r>
      <w:r>
        <w:rPr>
          <w:sz w:val="24"/>
        </w:rPr>
        <w:t xml:space="preserve"> of Title V Air Operation Permit No</w:t>
      </w:r>
      <w:r w:rsidRPr="00DB0D86">
        <w:rPr>
          <w:sz w:val="24"/>
        </w:rPr>
        <w:t xml:space="preserve">. </w:t>
      </w:r>
      <w:r w:rsidR="00DB0D86" w:rsidRPr="00DB0D86">
        <w:rPr>
          <w:sz w:val="24"/>
        </w:rPr>
        <w:t>0050090</w:t>
      </w:r>
      <w:r w:rsidRPr="00DB0D86">
        <w:rPr>
          <w:sz w:val="24"/>
        </w:rPr>
        <w:t>-</w:t>
      </w:r>
      <w:r w:rsidR="00DB0D86">
        <w:rPr>
          <w:sz w:val="24"/>
        </w:rPr>
        <w:t>002</w:t>
      </w:r>
      <w:r>
        <w:rPr>
          <w:sz w:val="24"/>
        </w:rPr>
        <w:t>-AV)</w:t>
      </w:r>
    </w:p>
    <w:p w14:paraId="51B1BC55" w14:textId="77777777" w:rsidR="00D2710D" w:rsidRDefault="006B47E9" w:rsidP="00B025D9">
      <w:pPr>
        <w:tabs>
          <w:tab w:val="left" w:pos="5040"/>
        </w:tabs>
        <w:jc w:val="center"/>
      </w:pPr>
      <w:r>
        <w:rPr>
          <w:noProof/>
        </w:rPr>
        <w:drawing>
          <wp:inline distT="0" distB="0" distL="0" distR="0" wp14:anchorId="2FDDE7BB" wp14:editId="6F0FB437">
            <wp:extent cx="2403134" cy="24031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4972" cy="2444972"/>
                    </a:xfrm>
                    <a:prstGeom prst="rect">
                      <a:avLst/>
                    </a:prstGeom>
                  </pic:spPr>
                </pic:pic>
              </a:graphicData>
            </a:graphic>
          </wp:inline>
        </w:drawing>
      </w:r>
    </w:p>
    <w:p w14:paraId="2A92DE73" w14:textId="77777777" w:rsidR="00D2710D" w:rsidRPr="00E210D2" w:rsidRDefault="00D2710D" w:rsidP="006B47E9">
      <w:pPr>
        <w:spacing w:before="120" w:after="60"/>
        <w:jc w:val="center"/>
        <w:outlineLvl w:val="0"/>
        <w:rPr>
          <w:b/>
          <w:sz w:val="28"/>
        </w:rPr>
      </w:pPr>
      <w:r w:rsidRPr="00E210D2">
        <w:rPr>
          <w:b/>
          <w:sz w:val="28"/>
          <w:u w:val="single"/>
        </w:rPr>
        <w:t>Permitting Authority:</w:t>
      </w:r>
    </w:p>
    <w:p w14:paraId="5F6CA5E3"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6624D393" w14:textId="77777777" w:rsidR="00D2710D" w:rsidRDefault="00D2710D" w:rsidP="00D2710D">
      <w:pPr>
        <w:jc w:val="center"/>
        <w:rPr>
          <w:sz w:val="28"/>
        </w:rPr>
      </w:pPr>
      <w:r>
        <w:rPr>
          <w:sz w:val="28"/>
        </w:rPr>
        <w:t>Department of Environmental Protection</w:t>
      </w:r>
    </w:p>
    <w:p w14:paraId="2DD58DA3" w14:textId="77777777" w:rsidR="00D2710D" w:rsidRDefault="00D2710D" w:rsidP="00D2710D">
      <w:pPr>
        <w:jc w:val="center"/>
        <w:rPr>
          <w:sz w:val="28"/>
        </w:rPr>
      </w:pPr>
      <w:r>
        <w:rPr>
          <w:sz w:val="28"/>
        </w:rPr>
        <w:t>Division of Air Resource Management</w:t>
      </w:r>
    </w:p>
    <w:p w14:paraId="74A77AE2" w14:textId="77777777" w:rsidR="00D2710D" w:rsidRDefault="003B6DC5" w:rsidP="00D2710D">
      <w:pPr>
        <w:jc w:val="center"/>
        <w:rPr>
          <w:sz w:val="28"/>
        </w:rPr>
      </w:pPr>
      <w:r>
        <w:rPr>
          <w:sz w:val="28"/>
        </w:rPr>
        <w:t>Office of Permitting and Compliance</w:t>
      </w:r>
    </w:p>
    <w:p w14:paraId="582213AE" w14:textId="77777777" w:rsidR="00D2710D" w:rsidRDefault="00D2710D" w:rsidP="00D2710D">
      <w:pPr>
        <w:jc w:val="center"/>
        <w:rPr>
          <w:sz w:val="28"/>
        </w:rPr>
      </w:pPr>
      <w:r>
        <w:rPr>
          <w:sz w:val="28"/>
        </w:rPr>
        <w:t>2600 Blair Stone Road</w:t>
      </w:r>
    </w:p>
    <w:p w14:paraId="2E59E37D" w14:textId="77777777" w:rsidR="00D2710D" w:rsidRDefault="00D2710D" w:rsidP="00D2710D">
      <w:pPr>
        <w:jc w:val="center"/>
        <w:rPr>
          <w:sz w:val="28"/>
        </w:rPr>
      </w:pPr>
      <w:r>
        <w:rPr>
          <w:sz w:val="28"/>
        </w:rPr>
        <w:t>Mail Station #5505</w:t>
      </w:r>
    </w:p>
    <w:p w14:paraId="4978EDC1" w14:textId="77777777"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Florida  </w:t>
        </w:r>
        <w:smartTag w:uri="urn:schemas-microsoft-com:office:smarttags" w:element="PostalCode">
          <w:r>
            <w:rPr>
              <w:sz w:val="28"/>
            </w:rPr>
            <w:t>32399-2400</w:t>
          </w:r>
        </w:smartTag>
      </w:smartTag>
    </w:p>
    <w:p w14:paraId="3F45D98F" w14:textId="77777777" w:rsidR="00D2710D" w:rsidRPr="00CB4A91" w:rsidRDefault="00D2710D" w:rsidP="00D2710D">
      <w:pPr>
        <w:jc w:val="center"/>
        <w:outlineLvl w:val="0"/>
        <w:rPr>
          <w:sz w:val="28"/>
        </w:rPr>
      </w:pPr>
      <w:r w:rsidRPr="00CB4A91">
        <w:rPr>
          <w:sz w:val="28"/>
        </w:rPr>
        <w:t xml:space="preserve">Telephone:  (850) </w:t>
      </w:r>
      <w:r w:rsidR="00E570B4">
        <w:rPr>
          <w:sz w:val="28"/>
        </w:rPr>
        <w:t>717-9000</w:t>
      </w:r>
    </w:p>
    <w:p w14:paraId="75B8119F" w14:textId="77777777" w:rsidR="00054BE0" w:rsidRDefault="00C973C6" w:rsidP="00D2710D">
      <w:pPr>
        <w:jc w:val="center"/>
        <w:rPr>
          <w:sz w:val="28"/>
        </w:rPr>
      </w:pPr>
      <w:r>
        <w:rPr>
          <w:sz w:val="28"/>
        </w:rPr>
        <w:t xml:space="preserve">Email:  </w:t>
      </w:r>
      <w:hyperlink r:id="rId9" w:history="1">
        <w:r w:rsidRPr="00E14370">
          <w:rPr>
            <w:rStyle w:val="Hyperlink"/>
            <w:sz w:val="28"/>
          </w:rPr>
          <w:t>DARM_Permitting@dep.state.fl.us</w:t>
        </w:r>
      </w:hyperlink>
    </w:p>
    <w:p w14:paraId="3188F653" w14:textId="77777777" w:rsidR="00D2710D" w:rsidRDefault="00D2710D" w:rsidP="00183E1B">
      <w:pPr>
        <w:jc w:val="center"/>
      </w:pPr>
    </w:p>
    <w:p w14:paraId="6E5EA7D7"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4059CD34" w14:textId="77777777" w:rsidR="00D2710D" w:rsidRPr="00DB0D86" w:rsidRDefault="00DB0D86" w:rsidP="00D2710D">
      <w:pPr>
        <w:spacing w:before="60" w:after="60"/>
        <w:jc w:val="center"/>
        <w:rPr>
          <w:sz w:val="28"/>
          <w:szCs w:val="28"/>
        </w:rPr>
      </w:pPr>
      <w:r w:rsidRPr="00DB0D86">
        <w:rPr>
          <w:sz w:val="28"/>
          <w:szCs w:val="28"/>
        </w:rPr>
        <w:t>Department of Environmental Protection</w:t>
      </w:r>
    </w:p>
    <w:p w14:paraId="50222586" w14:textId="77777777" w:rsidR="00D2710D" w:rsidRPr="00DB0D86" w:rsidRDefault="00DB0D86" w:rsidP="00D2710D">
      <w:pPr>
        <w:jc w:val="center"/>
        <w:rPr>
          <w:sz w:val="28"/>
          <w:szCs w:val="28"/>
        </w:rPr>
      </w:pPr>
      <w:r w:rsidRPr="00DB0D86">
        <w:rPr>
          <w:sz w:val="28"/>
          <w:szCs w:val="28"/>
        </w:rPr>
        <w:t>Northwest District Office</w:t>
      </w:r>
    </w:p>
    <w:p w14:paraId="49065328" w14:textId="77777777" w:rsidR="00DB0D86" w:rsidRPr="00DB0D86" w:rsidRDefault="00DB0D86" w:rsidP="00D2710D">
      <w:pPr>
        <w:jc w:val="center"/>
        <w:rPr>
          <w:sz w:val="28"/>
          <w:szCs w:val="28"/>
        </w:rPr>
      </w:pPr>
      <w:r w:rsidRPr="00DB0D86">
        <w:rPr>
          <w:sz w:val="28"/>
          <w:szCs w:val="28"/>
        </w:rPr>
        <w:t>160 W. Government Street, Suite 308</w:t>
      </w:r>
    </w:p>
    <w:p w14:paraId="12B0F855" w14:textId="77777777" w:rsidR="00D2710D" w:rsidRPr="00DB0D86" w:rsidRDefault="00DB0D86" w:rsidP="00D2710D">
      <w:pPr>
        <w:jc w:val="center"/>
        <w:rPr>
          <w:sz w:val="28"/>
          <w:szCs w:val="28"/>
        </w:rPr>
      </w:pPr>
      <w:r w:rsidRPr="00DB0D86">
        <w:rPr>
          <w:sz w:val="28"/>
          <w:szCs w:val="28"/>
        </w:rPr>
        <w:t>Pensacola, FL 32502-5740</w:t>
      </w:r>
    </w:p>
    <w:p w14:paraId="2A337D58" w14:textId="77777777" w:rsidR="00D2710D" w:rsidRPr="002E5AA6" w:rsidRDefault="00D2710D" w:rsidP="00D2710D">
      <w:pPr>
        <w:spacing w:before="120"/>
        <w:jc w:val="center"/>
        <w:rPr>
          <w:sz w:val="28"/>
          <w:szCs w:val="28"/>
        </w:rPr>
      </w:pPr>
      <w:r w:rsidRPr="00DB0D86">
        <w:rPr>
          <w:sz w:val="28"/>
          <w:szCs w:val="28"/>
        </w:rPr>
        <w:t>Telephone:  (</w:t>
      </w:r>
      <w:r w:rsidR="00DB0D86" w:rsidRPr="00DB0D86">
        <w:rPr>
          <w:sz w:val="28"/>
          <w:szCs w:val="28"/>
        </w:rPr>
        <w:t>850</w:t>
      </w:r>
      <w:r w:rsidRPr="00DB0D86">
        <w:rPr>
          <w:sz w:val="28"/>
          <w:szCs w:val="28"/>
        </w:rPr>
        <w:t xml:space="preserve">) </w:t>
      </w:r>
      <w:r w:rsidR="00DB0D86" w:rsidRPr="00DB0D86">
        <w:rPr>
          <w:sz w:val="28"/>
          <w:szCs w:val="28"/>
        </w:rPr>
        <w:t>595</w:t>
      </w:r>
      <w:r w:rsidRPr="00DB0D86">
        <w:rPr>
          <w:sz w:val="28"/>
          <w:szCs w:val="28"/>
        </w:rPr>
        <w:t>-</w:t>
      </w:r>
      <w:r w:rsidR="00DB0D86" w:rsidRPr="00DB0D86">
        <w:rPr>
          <w:sz w:val="28"/>
          <w:szCs w:val="28"/>
        </w:rPr>
        <w:t>8300</w:t>
      </w:r>
    </w:p>
    <w:p w14:paraId="145C4FBF" w14:textId="77777777" w:rsidR="006910A9" w:rsidRDefault="006910A9" w:rsidP="006910A9">
      <w:pPr>
        <w:pStyle w:val="TOC1"/>
        <w:jc w:val="center"/>
        <w:rPr>
          <w:sz w:val="32"/>
          <w:u w:val="single"/>
        </w:rPr>
        <w:sectPr w:rsidR="006910A9" w:rsidSect="00183E1B">
          <w:headerReference w:type="even" r:id="rId10"/>
          <w:headerReference w:type="default" r:id="rId11"/>
          <w:footerReference w:type="even" r:id="rId12"/>
          <w:footerReference w:type="default" r:id="rId13"/>
          <w:headerReference w:type="first" r:id="rId14"/>
          <w:footerReference w:type="first" r:id="rId15"/>
          <w:pgSz w:w="12240" w:h="15840" w:code="1"/>
          <w:pgMar w:top="900" w:right="1152" w:bottom="720" w:left="1152" w:header="630" w:footer="720" w:gutter="0"/>
          <w:paperSrc w:first="15" w:other="15"/>
          <w:pgNumType w:start="1"/>
          <w:cols w:space="720"/>
          <w:titlePg/>
        </w:sectPr>
      </w:pPr>
    </w:p>
    <w:p w14:paraId="346BFD66" w14:textId="77777777" w:rsidR="006910A9" w:rsidRDefault="006910A9" w:rsidP="006910A9">
      <w:pPr>
        <w:pStyle w:val="TOC1"/>
        <w:jc w:val="center"/>
        <w:rPr>
          <w:sz w:val="32"/>
          <w:u w:val="single"/>
        </w:rPr>
      </w:pPr>
      <w:r>
        <w:rPr>
          <w:sz w:val="32"/>
          <w:u w:val="single"/>
        </w:rPr>
        <w:lastRenderedPageBreak/>
        <w:t xml:space="preserve">Title V Air Operation Permit </w:t>
      </w:r>
      <w:r w:rsidR="00360D38">
        <w:rPr>
          <w:sz w:val="32"/>
          <w:u w:val="single"/>
        </w:rPr>
        <w:t>Renewal</w:t>
      </w:r>
    </w:p>
    <w:p w14:paraId="2DE4EF92" w14:textId="77777777" w:rsidR="006910A9" w:rsidRDefault="006910A9" w:rsidP="006910A9">
      <w:pPr>
        <w:jc w:val="center"/>
      </w:pPr>
      <w:r w:rsidRPr="00D82ABF">
        <w:t>Permit No.</w:t>
      </w:r>
      <w:r>
        <w:t xml:space="preserve"> </w:t>
      </w:r>
      <w:r w:rsidR="00360D38" w:rsidRPr="00360D38">
        <w:t>0050090</w:t>
      </w:r>
      <w:r w:rsidRPr="00360D38">
        <w:t>-</w:t>
      </w:r>
      <w:r w:rsidR="00360D38">
        <w:t>003</w:t>
      </w:r>
      <w:r w:rsidR="00D2710D">
        <w:t>-</w:t>
      </w:r>
      <w:r>
        <w:t>AV</w:t>
      </w:r>
    </w:p>
    <w:p w14:paraId="42C792C0" w14:textId="77777777" w:rsidR="00307226" w:rsidRDefault="00307226" w:rsidP="006910A9">
      <w:pPr>
        <w:jc w:val="center"/>
      </w:pPr>
    </w:p>
    <w:p w14:paraId="7D559A00" w14:textId="77777777" w:rsidR="006910A9" w:rsidRDefault="006910A9" w:rsidP="006910A9">
      <w:pPr>
        <w:jc w:val="center"/>
      </w:pPr>
      <w:bookmarkStart w:id="0" w:name="TableofContents"/>
      <w:r>
        <w:rPr>
          <w:b/>
          <w:u w:val="single"/>
        </w:rPr>
        <w:t>Table of Contents</w:t>
      </w:r>
      <w:bookmarkEnd w:id="0"/>
    </w:p>
    <w:p w14:paraId="5801F26D" w14:textId="77777777"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14:paraId="5DBE2653" w14:textId="77777777" w:rsidR="00AD07D0" w:rsidRDefault="00AD07D0" w:rsidP="00AD07D0">
      <w:pPr>
        <w:tabs>
          <w:tab w:val="left" w:pos="360"/>
          <w:tab w:val="left" w:pos="720"/>
          <w:tab w:val="left" w:pos="1080"/>
          <w:tab w:val="left" w:pos="1440"/>
          <w:tab w:val="right" w:leader="dot" w:pos="10080"/>
        </w:tabs>
      </w:pPr>
    </w:p>
    <w:p w14:paraId="62D1191D" w14:textId="720486C5" w:rsidR="004A6812" w:rsidRDefault="004A6812" w:rsidP="004A6812">
      <w:pPr>
        <w:tabs>
          <w:tab w:val="left" w:pos="360"/>
          <w:tab w:val="right" w:leader="dot" w:pos="10080"/>
        </w:tabs>
      </w:pPr>
      <w:r>
        <w:t xml:space="preserve">Placard Page </w:t>
      </w:r>
      <w:r>
        <w:tab/>
        <w:t xml:space="preserve"> </w:t>
      </w:r>
      <w:hyperlink w:anchor="Placard" w:tooltip=" " w:history="1">
        <w:r w:rsidR="00114B42" w:rsidRPr="00114B42">
          <w:rPr>
            <w:rStyle w:val="Hyperlink"/>
            <w:color w:val="00B0F0"/>
          </w:rPr>
          <w:fldChar w:fldCharType="begin"/>
        </w:r>
        <w:r w:rsidR="00114B42" w:rsidRPr="00114B42">
          <w:rPr>
            <w:color w:val="00B0F0"/>
          </w:rPr>
          <w:instrText xml:space="preserve"> PAGEREF Placard \h </w:instrText>
        </w:r>
        <w:r w:rsidR="00114B42" w:rsidRPr="00114B42">
          <w:rPr>
            <w:rStyle w:val="Hyperlink"/>
            <w:color w:val="00B0F0"/>
          </w:rPr>
        </w:r>
        <w:r w:rsidR="00114B42" w:rsidRPr="00114B42">
          <w:rPr>
            <w:rStyle w:val="Hyperlink"/>
            <w:color w:val="00B0F0"/>
          </w:rPr>
          <w:fldChar w:fldCharType="separate"/>
        </w:r>
        <w:r w:rsidR="00114B42" w:rsidRPr="00114B42">
          <w:rPr>
            <w:noProof/>
            <w:color w:val="00B0F0"/>
          </w:rPr>
          <w:t>1</w:t>
        </w:r>
        <w:r w:rsidR="00114B42" w:rsidRPr="00114B42">
          <w:rPr>
            <w:rStyle w:val="Hyperlink"/>
            <w:color w:val="00B0F0"/>
          </w:rPr>
          <w:fldChar w:fldCharType="end"/>
        </w:r>
      </w:hyperlink>
    </w:p>
    <w:p w14:paraId="0ABD5B02" w14:textId="77777777" w:rsidR="004A6812" w:rsidRDefault="004A6812" w:rsidP="004A6812">
      <w:pPr>
        <w:tabs>
          <w:tab w:val="left" w:pos="360"/>
          <w:tab w:val="right" w:leader="dot" w:pos="10080"/>
        </w:tabs>
      </w:pPr>
    </w:p>
    <w:p w14:paraId="1D591DAA" w14:textId="77777777" w:rsidR="00AD07D0" w:rsidRDefault="00AD07D0" w:rsidP="00AD07D0">
      <w:pPr>
        <w:tabs>
          <w:tab w:val="left" w:pos="360"/>
          <w:tab w:val="left" w:pos="720"/>
          <w:tab w:val="left" w:pos="1080"/>
          <w:tab w:val="left" w:pos="1440"/>
          <w:tab w:val="right" w:leader="dot" w:pos="10080"/>
        </w:tabs>
      </w:pPr>
      <w:r>
        <w:t>I.</w:t>
      </w:r>
      <w:r>
        <w:tab/>
        <w:t>Facility Information.</w:t>
      </w:r>
    </w:p>
    <w:p w14:paraId="7ED3D699" w14:textId="4C6BFDBA" w:rsidR="00AD07D0" w:rsidRDefault="00AD07D0" w:rsidP="00623543">
      <w:pPr>
        <w:tabs>
          <w:tab w:val="left" w:pos="360"/>
          <w:tab w:val="left" w:pos="720"/>
          <w:tab w:val="left" w:pos="1080"/>
          <w:tab w:val="left" w:pos="1440"/>
          <w:tab w:val="right" w:leader="dot" w:pos="10080"/>
        </w:tabs>
      </w:pPr>
      <w:r>
        <w:tab/>
        <w:t>A.</w:t>
      </w:r>
      <w:r>
        <w:tab/>
        <w:t xml:space="preserve">Facility Description. </w:t>
      </w:r>
      <w:r>
        <w:tab/>
        <w:t xml:space="preserve"> </w:t>
      </w:r>
      <w:hyperlink w:anchor="SubsectionA" w:tooltip=" " w:history="1">
        <w:r w:rsidR="00114B42" w:rsidRPr="00114B42">
          <w:rPr>
            <w:rStyle w:val="Hyperlink"/>
            <w:color w:val="00B0F0"/>
          </w:rPr>
          <w:fldChar w:fldCharType="begin"/>
        </w:r>
        <w:r w:rsidR="00114B42" w:rsidRPr="00114B42">
          <w:rPr>
            <w:color w:val="00B0F0"/>
          </w:rPr>
          <w:instrText xml:space="preserve"> PAGEREF SectionIA \h </w:instrText>
        </w:r>
        <w:r w:rsidR="00114B42" w:rsidRPr="00114B42">
          <w:rPr>
            <w:rStyle w:val="Hyperlink"/>
            <w:color w:val="00B0F0"/>
          </w:rPr>
        </w:r>
        <w:r w:rsidR="00114B42" w:rsidRPr="00114B42">
          <w:rPr>
            <w:rStyle w:val="Hyperlink"/>
            <w:color w:val="00B0F0"/>
          </w:rPr>
          <w:fldChar w:fldCharType="separate"/>
        </w:r>
        <w:r w:rsidR="00114B42" w:rsidRPr="00114B42">
          <w:rPr>
            <w:noProof/>
            <w:color w:val="00B0F0"/>
          </w:rPr>
          <w:t>2</w:t>
        </w:r>
        <w:r w:rsidR="00114B42" w:rsidRPr="00114B42">
          <w:rPr>
            <w:rStyle w:val="Hyperlink"/>
            <w:color w:val="00B0F0"/>
          </w:rPr>
          <w:fldChar w:fldCharType="end"/>
        </w:r>
      </w:hyperlink>
    </w:p>
    <w:p w14:paraId="1FDCB59A" w14:textId="34BCE8B2"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w:t>
      </w:r>
      <w:hyperlink w:anchor="SectionIB" w:tooltip=" " w:history="1">
        <w:r w:rsidR="00114B42" w:rsidRPr="00114B42">
          <w:rPr>
            <w:rStyle w:val="Hyperlink"/>
            <w:color w:val="00B0F0"/>
          </w:rPr>
          <w:fldChar w:fldCharType="begin"/>
        </w:r>
        <w:r w:rsidR="00114B42" w:rsidRPr="00114B42">
          <w:rPr>
            <w:color w:val="00B0F0"/>
          </w:rPr>
          <w:instrText xml:space="preserve"> PAGEREF SectionIB \h </w:instrText>
        </w:r>
        <w:r w:rsidR="00114B42" w:rsidRPr="00114B42">
          <w:rPr>
            <w:rStyle w:val="Hyperlink"/>
            <w:color w:val="00B0F0"/>
          </w:rPr>
        </w:r>
        <w:r w:rsidR="00114B42" w:rsidRPr="00114B42">
          <w:rPr>
            <w:rStyle w:val="Hyperlink"/>
            <w:color w:val="00B0F0"/>
          </w:rPr>
          <w:fldChar w:fldCharType="separate"/>
        </w:r>
        <w:r w:rsidR="00114B42" w:rsidRPr="00114B42">
          <w:rPr>
            <w:noProof/>
            <w:color w:val="00B0F0"/>
          </w:rPr>
          <w:t>2</w:t>
        </w:r>
        <w:r w:rsidR="00114B42" w:rsidRPr="00114B42">
          <w:rPr>
            <w:rStyle w:val="Hyperlink"/>
            <w:color w:val="00B0F0"/>
          </w:rPr>
          <w:fldChar w:fldCharType="end"/>
        </w:r>
      </w:hyperlink>
    </w:p>
    <w:p w14:paraId="712F9EE6" w14:textId="6F76E660"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hyperlink w:anchor="SubsectionA" w:tooltip=" " w:history="1">
        <w:r w:rsidR="00114B42" w:rsidRPr="00114B42">
          <w:rPr>
            <w:rStyle w:val="Hyperlink"/>
            <w:color w:val="00B0F0"/>
          </w:rPr>
          <w:fldChar w:fldCharType="begin"/>
        </w:r>
        <w:r w:rsidR="00114B42" w:rsidRPr="00114B42">
          <w:rPr>
            <w:color w:val="00B0F0"/>
          </w:rPr>
          <w:instrText xml:space="preserve"> PAGEREF SectionIC \h </w:instrText>
        </w:r>
        <w:r w:rsidR="00114B42" w:rsidRPr="00114B42">
          <w:rPr>
            <w:rStyle w:val="Hyperlink"/>
            <w:color w:val="00B0F0"/>
          </w:rPr>
        </w:r>
        <w:r w:rsidR="00114B42" w:rsidRPr="00114B42">
          <w:rPr>
            <w:rStyle w:val="Hyperlink"/>
            <w:color w:val="00B0F0"/>
          </w:rPr>
          <w:fldChar w:fldCharType="separate"/>
        </w:r>
        <w:r w:rsidR="00114B42" w:rsidRPr="00114B42">
          <w:rPr>
            <w:noProof/>
            <w:color w:val="00B0F0"/>
          </w:rPr>
          <w:t>2</w:t>
        </w:r>
        <w:r w:rsidR="00114B42" w:rsidRPr="00114B42">
          <w:rPr>
            <w:rStyle w:val="Hyperlink"/>
            <w:color w:val="00B0F0"/>
          </w:rPr>
          <w:fldChar w:fldCharType="end"/>
        </w:r>
      </w:hyperlink>
    </w:p>
    <w:p w14:paraId="4AEFC21C" w14:textId="77777777" w:rsidR="000A0A5C" w:rsidRDefault="000A0A5C" w:rsidP="00AD07D0">
      <w:pPr>
        <w:tabs>
          <w:tab w:val="left" w:pos="360"/>
          <w:tab w:val="left" w:pos="720"/>
          <w:tab w:val="left" w:pos="1080"/>
          <w:tab w:val="left" w:pos="1440"/>
          <w:tab w:val="right" w:leader="dot" w:pos="10080"/>
        </w:tabs>
      </w:pPr>
    </w:p>
    <w:p w14:paraId="6AF67D04" w14:textId="652CF062"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hyperlink w:anchor="SectionII" w:tooltip=" " w:history="1">
        <w:r w:rsidR="00114B42" w:rsidRPr="00114B42">
          <w:rPr>
            <w:rStyle w:val="Hyperlink"/>
            <w:color w:val="00B0F0"/>
          </w:rPr>
          <w:fldChar w:fldCharType="begin"/>
        </w:r>
        <w:r w:rsidR="00114B42" w:rsidRPr="00114B42">
          <w:rPr>
            <w:color w:val="00B0F0"/>
          </w:rPr>
          <w:instrText xml:space="preserve"> PAGEREF SectionII \h </w:instrText>
        </w:r>
        <w:r w:rsidR="00114B42" w:rsidRPr="00114B42">
          <w:rPr>
            <w:rStyle w:val="Hyperlink"/>
            <w:color w:val="00B0F0"/>
          </w:rPr>
        </w:r>
        <w:r w:rsidR="00114B42" w:rsidRPr="00114B42">
          <w:rPr>
            <w:rStyle w:val="Hyperlink"/>
            <w:color w:val="00B0F0"/>
          </w:rPr>
          <w:fldChar w:fldCharType="separate"/>
        </w:r>
        <w:r w:rsidR="00114B42" w:rsidRPr="00114B42">
          <w:rPr>
            <w:noProof/>
            <w:color w:val="00B0F0"/>
          </w:rPr>
          <w:t>4</w:t>
        </w:r>
        <w:r w:rsidR="00114B42" w:rsidRPr="00114B42">
          <w:rPr>
            <w:rStyle w:val="Hyperlink"/>
            <w:color w:val="00B0F0"/>
          </w:rPr>
          <w:fldChar w:fldCharType="end"/>
        </w:r>
      </w:hyperlink>
    </w:p>
    <w:p w14:paraId="0D270249" w14:textId="77777777" w:rsidR="005F79CF" w:rsidRDefault="005F79CF" w:rsidP="00AD07D0">
      <w:pPr>
        <w:tabs>
          <w:tab w:val="left" w:pos="360"/>
          <w:tab w:val="left" w:pos="720"/>
          <w:tab w:val="left" w:pos="1080"/>
          <w:tab w:val="left" w:pos="1440"/>
          <w:tab w:val="right" w:leader="dot" w:pos="10080"/>
        </w:tabs>
      </w:pPr>
    </w:p>
    <w:p w14:paraId="2C8F5980" w14:textId="77777777" w:rsidR="005F79CF" w:rsidRDefault="005F79CF" w:rsidP="00AD07D0">
      <w:pPr>
        <w:tabs>
          <w:tab w:val="left" w:pos="360"/>
          <w:tab w:val="left" w:pos="720"/>
          <w:tab w:val="left" w:pos="1080"/>
          <w:tab w:val="left" w:pos="1440"/>
          <w:tab w:val="right" w:leader="dot" w:pos="10080"/>
        </w:tabs>
      </w:pPr>
      <w:r>
        <w:t>III.</w:t>
      </w:r>
      <w:r>
        <w:tab/>
        <w:t>Emissions Units and Conditions.</w:t>
      </w:r>
    </w:p>
    <w:p w14:paraId="12695912" w14:textId="018828CF" w:rsidR="005F79CF" w:rsidRDefault="005F79CF" w:rsidP="00AD07D0">
      <w:pPr>
        <w:tabs>
          <w:tab w:val="left" w:pos="360"/>
          <w:tab w:val="left" w:pos="720"/>
          <w:tab w:val="left" w:pos="1080"/>
          <w:tab w:val="left" w:pos="1440"/>
          <w:tab w:val="right" w:leader="dot" w:pos="10080"/>
        </w:tabs>
      </w:pPr>
      <w:r>
        <w:tab/>
        <w:t>A.</w:t>
      </w:r>
      <w:r>
        <w:tab/>
      </w:r>
      <w:r w:rsidR="00652A2D">
        <w:t>EU No. 001 – MSW Landfill</w:t>
      </w:r>
      <w:r>
        <w:t xml:space="preserve">. </w:t>
      </w:r>
      <w:r>
        <w:tab/>
        <w:t xml:space="preserve"> </w:t>
      </w:r>
      <w:hyperlink w:anchor="SectionIII" w:tooltip=" " w:history="1">
        <w:r w:rsidR="00114B42" w:rsidRPr="00114B42">
          <w:rPr>
            <w:rStyle w:val="Hyperlink"/>
            <w:color w:val="00B0F0"/>
          </w:rPr>
          <w:fldChar w:fldCharType="begin"/>
        </w:r>
        <w:r w:rsidR="00114B42" w:rsidRPr="00114B42">
          <w:rPr>
            <w:color w:val="00B0F0"/>
          </w:rPr>
          <w:instrText xml:space="preserve"> PAGEREF SectionIII \h </w:instrText>
        </w:r>
        <w:r w:rsidR="00114B42" w:rsidRPr="00114B42">
          <w:rPr>
            <w:rStyle w:val="Hyperlink"/>
            <w:color w:val="00B0F0"/>
          </w:rPr>
        </w:r>
        <w:r w:rsidR="00114B42" w:rsidRPr="00114B42">
          <w:rPr>
            <w:rStyle w:val="Hyperlink"/>
            <w:color w:val="00B0F0"/>
          </w:rPr>
          <w:fldChar w:fldCharType="separate"/>
        </w:r>
        <w:r w:rsidR="00114B42" w:rsidRPr="00114B42">
          <w:rPr>
            <w:noProof/>
            <w:color w:val="00B0F0"/>
          </w:rPr>
          <w:t>7</w:t>
        </w:r>
        <w:r w:rsidR="00114B42" w:rsidRPr="00114B42">
          <w:rPr>
            <w:rStyle w:val="Hyperlink"/>
            <w:color w:val="00B0F0"/>
          </w:rPr>
          <w:fldChar w:fldCharType="end"/>
        </w:r>
      </w:hyperlink>
    </w:p>
    <w:p w14:paraId="3DF3C136" w14:textId="43F17F45" w:rsidR="00533828" w:rsidRDefault="00533828" w:rsidP="00AD07D0">
      <w:pPr>
        <w:tabs>
          <w:tab w:val="left" w:pos="360"/>
          <w:tab w:val="left" w:pos="720"/>
          <w:tab w:val="left" w:pos="1080"/>
          <w:tab w:val="left" w:pos="1440"/>
          <w:tab w:val="right" w:leader="dot" w:pos="10080"/>
        </w:tabs>
      </w:pPr>
    </w:p>
    <w:p w14:paraId="4B480AC9" w14:textId="3208115C" w:rsidR="005F79CF" w:rsidRDefault="00623543" w:rsidP="00AD07D0">
      <w:pPr>
        <w:tabs>
          <w:tab w:val="left" w:pos="360"/>
          <w:tab w:val="left" w:pos="720"/>
          <w:tab w:val="left" w:pos="1080"/>
          <w:tab w:val="left" w:pos="1440"/>
          <w:tab w:val="right" w:leader="dot" w:pos="10080"/>
        </w:tabs>
      </w:pPr>
      <w:r>
        <w:t>IV.</w:t>
      </w:r>
      <w:r w:rsidR="005F79CF">
        <w:tab/>
      </w:r>
      <w:r w:rsidR="004642C4">
        <w:t>Appendices</w:t>
      </w:r>
      <w:r w:rsidR="005F79CF">
        <w:t xml:space="preserve">. </w:t>
      </w:r>
      <w:r w:rsidR="005F79CF">
        <w:tab/>
      </w:r>
      <w:r w:rsidR="00433348">
        <w:t xml:space="preserve">See </w:t>
      </w:r>
      <w:r w:rsidR="006C3B60">
        <w:t>Appendices Document</w:t>
      </w:r>
    </w:p>
    <w:p w14:paraId="25D29684" w14:textId="77777777"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14:paraId="416BBA1A" w14:textId="77777777" w:rsidR="004B723E" w:rsidRDefault="004B723E" w:rsidP="004B723E">
      <w:pPr>
        <w:tabs>
          <w:tab w:val="left" w:pos="360"/>
          <w:tab w:val="left" w:pos="720"/>
          <w:tab w:val="left" w:pos="1080"/>
          <w:tab w:val="left" w:pos="1440"/>
          <w:tab w:val="right" w:leader="dot" w:pos="10080"/>
        </w:tabs>
      </w:pPr>
      <w:r>
        <w:tab/>
      </w:r>
      <w:r w:rsidRPr="00433348">
        <w:t>Appendix I, List of Insignificant Emissions Units and/or Activities.</w:t>
      </w:r>
    </w:p>
    <w:p w14:paraId="5CCF5EC5" w14:textId="3BCCDB88" w:rsidR="009631A9" w:rsidRDefault="009631A9" w:rsidP="004B723E">
      <w:pPr>
        <w:tabs>
          <w:tab w:val="left" w:pos="360"/>
          <w:tab w:val="left" w:pos="720"/>
          <w:tab w:val="left" w:pos="1080"/>
          <w:tab w:val="left" w:pos="1440"/>
          <w:tab w:val="right" w:leader="dot" w:pos="10080"/>
        </w:tabs>
      </w:pPr>
      <w:r>
        <w:tab/>
      </w:r>
      <w:r w:rsidRPr="00433348">
        <w:t>Appendix NESHAP, Subpart A</w:t>
      </w:r>
      <w:r w:rsidR="00433348">
        <w:t xml:space="preserve"> of 40 CFR 61</w:t>
      </w:r>
      <w:r w:rsidRPr="00433348">
        <w:t xml:space="preserve"> – General Provisions.</w:t>
      </w:r>
    </w:p>
    <w:p w14:paraId="1A7397EA" w14:textId="0B101291" w:rsidR="0015428B" w:rsidRPr="0048625E" w:rsidRDefault="0015428B" w:rsidP="004B723E">
      <w:pPr>
        <w:tabs>
          <w:tab w:val="left" w:pos="360"/>
          <w:tab w:val="left" w:pos="720"/>
          <w:tab w:val="left" w:pos="1080"/>
          <w:tab w:val="left" w:pos="1440"/>
          <w:tab w:val="right" w:leader="dot" w:pos="10080"/>
        </w:tabs>
      </w:pPr>
      <w:r>
        <w:tab/>
      </w:r>
      <w:r w:rsidRPr="0048625E">
        <w:t xml:space="preserve">Appendix NESHAP, </w:t>
      </w:r>
      <w:r w:rsidR="00433348" w:rsidRPr="0048625E">
        <w:t>Subpart M – National Emission Standards for A</w:t>
      </w:r>
      <w:r w:rsidR="003B1779">
        <w:t>s</w:t>
      </w:r>
      <w:r w:rsidR="00433348" w:rsidRPr="0048625E">
        <w:t>bestos</w:t>
      </w:r>
    </w:p>
    <w:p w14:paraId="5F97B882" w14:textId="7C3D99FF" w:rsidR="0015428B" w:rsidRDefault="0015428B" w:rsidP="00D91F6D">
      <w:pPr>
        <w:tabs>
          <w:tab w:val="left" w:pos="360"/>
          <w:tab w:val="left" w:pos="720"/>
          <w:tab w:val="left" w:pos="1080"/>
          <w:tab w:val="left" w:pos="1440"/>
          <w:tab w:val="right" w:leader="dot" w:pos="10080"/>
        </w:tabs>
        <w:ind w:left="720" w:hanging="720"/>
      </w:pPr>
      <w:r w:rsidRPr="0048625E">
        <w:tab/>
        <w:t xml:space="preserve">Appendix NSPS, </w:t>
      </w:r>
      <w:r w:rsidR="00705920" w:rsidRPr="0048625E">
        <w:t>Subpart A</w:t>
      </w:r>
      <w:r w:rsidR="007C2149" w:rsidRPr="0048625E">
        <w:t xml:space="preserve"> – General Provisions</w:t>
      </w:r>
      <w:r w:rsidR="00D91394" w:rsidRPr="0048625E">
        <w:t>.</w:t>
      </w:r>
      <w:r w:rsidR="00AF3D06" w:rsidRPr="0048625E">
        <w:t xml:space="preserve"> </w:t>
      </w:r>
      <w:r w:rsidR="00705920" w:rsidRPr="0048625E">
        <w:t xml:space="preserve"> </w:t>
      </w:r>
    </w:p>
    <w:p w14:paraId="6249C82A" w14:textId="5841C4E4" w:rsidR="00311053" w:rsidRPr="0048625E" w:rsidRDefault="00311053" w:rsidP="00D91F6D">
      <w:pPr>
        <w:tabs>
          <w:tab w:val="left" w:pos="360"/>
          <w:tab w:val="left" w:pos="720"/>
          <w:tab w:val="left" w:pos="1080"/>
          <w:tab w:val="left" w:pos="1440"/>
          <w:tab w:val="right" w:leader="dot" w:pos="10080"/>
        </w:tabs>
        <w:ind w:left="720" w:hanging="720"/>
      </w:pPr>
      <w:r>
        <w:tab/>
        <w:t>Appendix NSPS, Subpart WWW – Standards of Performance for Municipal Solid Waste Landfills</w:t>
      </w:r>
    </w:p>
    <w:p w14:paraId="5A8E3E86" w14:textId="58234871" w:rsidR="000C1108" w:rsidRDefault="000C1108" w:rsidP="004B723E">
      <w:pPr>
        <w:tabs>
          <w:tab w:val="left" w:pos="360"/>
          <w:tab w:val="left" w:pos="720"/>
          <w:tab w:val="left" w:pos="1080"/>
          <w:tab w:val="left" w:pos="1440"/>
          <w:tab w:val="right" w:leader="dot" w:pos="10080"/>
        </w:tabs>
      </w:pPr>
      <w:r w:rsidRPr="0048625E">
        <w:tab/>
        <w:t xml:space="preserve">Appendix NSPS, Subpart </w:t>
      </w:r>
      <w:r w:rsidR="00433348" w:rsidRPr="0048625E">
        <w:t>XXX – Standards</w:t>
      </w:r>
      <w:r w:rsidR="00433348">
        <w:t xml:space="preserve"> of Performance for Municipal Solid Waste Landfills That Commenced Construction, Reconstruction, or Modification After July 17, 2014</w:t>
      </w:r>
      <w:r w:rsidR="00D91394">
        <w:t>.</w:t>
      </w:r>
    </w:p>
    <w:p w14:paraId="1E0178B8" w14:textId="77777777" w:rsidR="004A234B" w:rsidRDefault="004A234B" w:rsidP="00AD07D0">
      <w:pPr>
        <w:tabs>
          <w:tab w:val="left" w:pos="360"/>
          <w:tab w:val="left" w:pos="720"/>
          <w:tab w:val="left" w:pos="1080"/>
          <w:tab w:val="left" w:pos="1440"/>
          <w:tab w:val="right" w:leader="dot" w:pos="10080"/>
        </w:tabs>
      </w:pPr>
      <w:r>
        <w:tab/>
        <w:t xml:space="preserve">Appendix </w:t>
      </w:r>
      <w:r w:rsidR="009D0532">
        <w:t>RR</w:t>
      </w:r>
      <w:r w:rsidR="00EB428B">
        <w:t>,</w:t>
      </w:r>
      <w:r w:rsidR="009D0532">
        <w:t xml:space="preserve"> Facility-wide Reporting Requirements.</w:t>
      </w:r>
    </w:p>
    <w:p w14:paraId="3980DCBF" w14:textId="77777777" w:rsidR="009D0532" w:rsidRDefault="009D0532" w:rsidP="00AD07D0">
      <w:pPr>
        <w:tabs>
          <w:tab w:val="left" w:pos="360"/>
          <w:tab w:val="left" w:pos="720"/>
          <w:tab w:val="left" w:pos="1080"/>
          <w:tab w:val="left" w:pos="1440"/>
          <w:tab w:val="right" w:leader="dot" w:pos="10080"/>
        </w:tabs>
      </w:pPr>
      <w:r>
        <w:tab/>
        <w:t>Appendix TR</w:t>
      </w:r>
      <w:r w:rsidR="00EB428B">
        <w:t>,</w:t>
      </w:r>
      <w:r>
        <w:t xml:space="preserve"> </w:t>
      </w:r>
      <w:bookmarkStart w:id="1" w:name="OLE_LINK1"/>
      <w:bookmarkStart w:id="2" w:name="OLE_LINK2"/>
      <w:r>
        <w:t>Facility-wide Testing Requirements.</w:t>
      </w:r>
      <w:bookmarkEnd w:id="1"/>
      <w:bookmarkEnd w:id="2"/>
    </w:p>
    <w:p w14:paraId="1FA1642E" w14:textId="77777777" w:rsidR="009D0532" w:rsidRDefault="009D0532" w:rsidP="00AD07D0">
      <w:pPr>
        <w:tabs>
          <w:tab w:val="left" w:pos="360"/>
          <w:tab w:val="left" w:pos="720"/>
          <w:tab w:val="left" w:pos="1080"/>
          <w:tab w:val="left" w:pos="1440"/>
          <w:tab w:val="right" w:leader="dot" w:pos="10080"/>
        </w:tabs>
      </w:pPr>
      <w:r>
        <w:tab/>
        <w:t>Appendix TV</w:t>
      </w:r>
      <w:r w:rsidR="00EB428B">
        <w:t>,</w:t>
      </w:r>
      <w:r>
        <w:t xml:space="preserve"> Title V General Conditions.</w:t>
      </w:r>
    </w:p>
    <w:p w14:paraId="73B50EF1" w14:textId="77777777" w:rsidR="004B723E" w:rsidRDefault="004B723E" w:rsidP="00AD07D0">
      <w:pPr>
        <w:tabs>
          <w:tab w:val="left" w:pos="360"/>
          <w:tab w:val="left" w:pos="720"/>
          <w:tab w:val="left" w:pos="1080"/>
          <w:tab w:val="left" w:pos="1440"/>
          <w:tab w:val="right" w:leader="dot" w:pos="10080"/>
        </w:tabs>
      </w:pPr>
    </w:p>
    <w:p w14:paraId="040B22E6" w14:textId="6E76A05E" w:rsidR="00EB428B" w:rsidRDefault="00D91F6D" w:rsidP="00D91F6D">
      <w:pPr>
        <w:tabs>
          <w:tab w:val="left" w:pos="360"/>
          <w:tab w:val="left" w:pos="540"/>
          <w:tab w:val="left" w:pos="720"/>
          <w:tab w:val="left" w:pos="1080"/>
          <w:tab w:val="left" w:pos="1440"/>
          <w:tab w:val="right" w:leader="dot" w:pos="10080"/>
        </w:tabs>
      </w:pPr>
      <w:r>
        <w:tab/>
      </w:r>
      <w:r w:rsidR="004B723E">
        <w:t>Referenced Attachments.</w:t>
      </w:r>
      <w:r w:rsidR="00D07701">
        <w:t xml:space="preserve"> </w:t>
      </w:r>
      <w:r w:rsidR="00D07701">
        <w:tab/>
        <w:t xml:space="preserve"> </w:t>
      </w:r>
      <w:r w:rsidR="00106CDE">
        <w:t>See Appendices Document</w:t>
      </w:r>
    </w:p>
    <w:p w14:paraId="3A468209" w14:textId="77777777" w:rsidR="00186B07" w:rsidRDefault="00EB428B" w:rsidP="00D91F6D">
      <w:pPr>
        <w:tabs>
          <w:tab w:val="left" w:pos="360"/>
          <w:tab w:val="left" w:pos="720"/>
          <w:tab w:val="left" w:pos="1080"/>
          <w:tab w:val="left" w:pos="1440"/>
        </w:tabs>
        <w:ind w:left="360"/>
      </w:pPr>
      <w:r>
        <w:tab/>
      </w:r>
      <w:r w:rsidR="00186B07">
        <w:t xml:space="preserve">Figure 1, Summary Report-Gaseous and Opacity Excess Emission and </w:t>
      </w:r>
    </w:p>
    <w:p w14:paraId="3DF75AC0" w14:textId="0B58B829" w:rsidR="00186B07" w:rsidRDefault="00186B07" w:rsidP="00D91F6D">
      <w:pPr>
        <w:tabs>
          <w:tab w:val="left" w:pos="360"/>
          <w:tab w:val="left" w:pos="720"/>
          <w:tab w:val="left" w:pos="1080"/>
          <w:tab w:val="left" w:pos="1440"/>
        </w:tabs>
        <w:ind w:left="2160" w:hanging="1800"/>
      </w:pPr>
      <w:r>
        <w:tab/>
      </w:r>
      <w:r>
        <w:tab/>
      </w:r>
      <w:r>
        <w:tab/>
      </w:r>
      <w:r w:rsidR="00C14978">
        <w:t xml:space="preserve">  </w:t>
      </w:r>
      <w:r>
        <w:t>Monitoring System Performance (40 CFR 60, July, 1996)</w:t>
      </w:r>
      <w:r w:rsidR="00C14978">
        <w:t>.</w:t>
      </w:r>
      <w:r w:rsidR="007C2149">
        <w:t xml:space="preserve">  </w:t>
      </w:r>
    </w:p>
    <w:p w14:paraId="55615C87" w14:textId="77777777" w:rsidR="00BC4026" w:rsidRDefault="00BC4026" w:rsidP="00D91F6D">
      <w:pPr>
        <w:tabs>
          <w:tab w:val="left" w:pos="360"/>
          <w:tab w:val="left" w:pos="720"/>
          <w:tab w:val="left" w:pos="1080"/>
          <w:tab w:val="left" w:pos="1440"/>
          <w:tab w:val="right" w:leader="dot" w:pos="10080"/>
        </w:tabs>
        <w:ind w:left="360"/>
      </w:pPr>
      <w:r>
        <w:tab/>
      </w:r>
      <w:r w:rsidR="00AF3D06" w:rsidRPr="00533828">
        <w:t>Table</w:t>
      </w:r>
      <w:r w:rsidRPr="00533828">
        <w:t xml:space="preserve"> H, Permit History.</w:t>
      </w:r>
    </w:p>
    <w:p w14:paraId="765949E0" w14:textId="0729F133" w:rsidR="006910A9" w:rsidRDefault="006910A9" w:rsidP="001D2746">
      <w:pPr>
        <w:tabs>
          <w:tab w:val="left" w:pos="360"/>
          <w:tab w:val="left" w:pos="720"/>
          <w:tab w:val="left" w:pos="1080"/>
          <w:tab w:val="left" w:pos="1440"/>
          <w:tab w:val="right" w:leader="dot" w:pos="10080"/>
        </w:tabs>
        <w:ind w:left="360"/>
        <w:rPr>
          <w:b/>
        </w:rPr>
        <w:sectPr w:rsidR="006910A9" w:rsidSect="00AD07D0">
          <w:headerReference w:type="even" r:id="rId16"/>
          <w:headerReference w:type="default" r:id="rId17"/>
          <w:footerReference w:type="default" r:id="rId18"/>
          <w:headerReference w:type="first" r:id="rId19"/>
          <w:footerReference w:type="first" r:id="rId20"/>
          <w:pgSz w:w="12240" w:h="15840" w:code="1"/>
          <w:pgMar w:top="1440" w:right="1080" w:bottom="720" w:left="1080" w:header="720" w:footer="720" w:gutter="0"/>
          <w:paperSrc w:first="256" w:other="256"/>
          <w:pgNumType w:fmt="lowerRoman" w:start="1"/>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114B42" w14:paraId="71B699E9" w14:textId="77777777" w:rsidTr="00114B42">
        <w:tc>
          <w:tcPr>
            <w:tcW w:w="5035" w:type="dxa"/>
          </w:tcPr>
          <w:p w14:paraId="78110E17" w14:textId="6AC4DD70" w:rsidR="00114B42" w:rsidRPr="00114B42" w:rsidRDefault="00114B42" w:rsidP="00E50809">
            <w:pPr>
              <w:tabs>
                <w:tab w:val="left" w:pos="-1440"/>
                <w:tab w:val="left" w:pos="-720"/>
                <w:tab w:val="left" w:pos="5040"/>
                <w:tab w:val="left" w:pos="7470"/>
              </w:tabs>
              <w:suppressAutoHyphens/>
              <w:rPr>
                <w:caps/>
              </w:rPr>
            </w:pPr>
            <w:bookmarkStart w:id="3" w:name="Placard"/>
            <w:bookmarkEnd w:id="3"/>
            <w:r w:rsidRPr="00B7362C">
              <w:rPr>
                <w:b/>
                <w:caps/>
              </w:rPr>
              <w:lastRenderedPageBreak/>
              <w:t>Permittee:</w:t>
            </w:r>
          </w:p>
          <w:p w14:paraId="0724F4CE" w14:textId="455EC531" w:rsidR="00114B42" w:rsidRPr="00114B42" w:rsidRDefault="00114B42" w:rsidP="00E50809">
            <w:pPr>
              <w:tabs>
                <w:tab w:val="left" w:pos="-1440"/>
                <w:tab w:val="left" w:pos="-720"/>
                <w:tab w:val="left" w:pos="5040"/>
                <w:tab w:val="left" w:pos="7470"/>
              </w:tabs>
              <w:suppressAutoHyphens/>
              <w:rPr>
                <w:caps/>
              </w:rPr>
            </w:pPr>
            <w:r w:rsidRPr="00114B42">
              <w:t>Steelfield Road Landfill</w:t>
            </w:r>
          </w:p>
          <w:p w14:paraId="60591CE6" w14:textId="6A388430" w:rsidR="00114B42" w:rsidRPr="00114B42" w:rsidRDefault="00114B42" w:rsidP="00E50809">
            <w:pPr>
              <w:tabs>
                <w:tab w:val="left" w:pos="-1440"/>
                <w:tab w:val="left" w:pos="-720"/>
                <w:tab w:val="left" w:pos="5040"/>
                <w:tab w:val="left" w:pos="7470"/>
              </w:tabs>
              <w:suppressAutoHyphens/>
              <w:rPr>
                <w:caps/>
              </w:rPr>
            </w:pPr>
            <w:r w:rsidRPr="00114B42">
              <w:t>11411 Landfill Road</w:t>
            </w:r>
          </w:p>
          <w:p w14:paraId="301A98EC" w14:textId="1256CD15" w:rsidR="00114B42" w:rsidRDefault="00114B42" w:rsidP="00E50809">
            <w:pPr>
              <w:tabs>
                <w:tab w:val="left" w:pos="-1440"/>
                <w:tab w:val="left" w:pos="-720"/>
                <w:tab w:val="left" w:pos="5040"/>
                <w:tab w:val="left" w:pos="7470"/>
              </w:tabs>
              <w:suppressAutoHyphens/>
              <w:rPr>
                <w:b/>
                <w:caps/>
              </w:rPr>
            </w:pPr>
            <w:r>
              <w:t>Panama City Beach</w:t>
            </w:r>
            <w:r w:rsidRPr="00AE52ED">
              <w:t xml:space="preserve">, </w:t>
            </w:r>
            <w:proofErr w:type="gramStart"/>
            <w:r w:rsidRPr="00AE52ED">
              <w:t xml:space="preserve">Florida  </w:t>
            </w:r>
            <w:r w:rsidRPr="001407E9">
              <w:t>32413</w:t>
            </w:r>
            <w:proofErr w:type="gramEnd"/>
            <w:r w:rsidRPr="001407E9">
              <w:t>-9449</w:t>
            </w:r>
          </w:p>
        </w:tc>
        <w:tc>
          <w:tcPr>
            <w:tcW w:w="5035" w:type="dxa"/>
          </w:tcPr>
          <w:p w14:paraId="7E28BC75" w14:textId="1A418CCF" w:rsidR="00114B42" w:rsidRPr="00114B42" w:rsidRDefault="00114B42" w:rsidP="00114B42">
            <w:pPr>
              <w:tabs>
                <w:tab w:val="left" w:pos="-1440"/>
                <w:tab w:val="left" w:pos="-720"/>
                <w:tab w:val="left" w:pos="5040"/>
                <w:tab w:val="left" w:pos="7470"/>
              </w:tabs>
              <w:suppressAutoHyphens/>
              <w:jc w:val="right"/>
              <w:rPr>
                <w:caps/>
              </w:rPr>
            </w:pPr>
            <w:r w:rsidRPr="00114B42">
              <w:t xml:space="preserve">Permit No. </w:t>
            </w:r>
            <w:r w:rsidRPr="00114B42">
              <w:rPr>
                <w:bCs/>
              </w:rPr>
              <w:t>0050090-003-AV</w:t>
            </w:r>
          </w:p>
          <w:p w14:paraId="5F5B6673" w14:textId="75BEBE03" w:rsidR="00114B42" w:rsidRPr="00114B42" w:rsidRDefault="00114B42" w:rsidP="00114B42">
            <w:pPr>
              <w:tabs>
                <w:tab w:val="left" w:pos="-1440"/>
                <w:tab w:val="left" w:pos="-720"/>
                <w:tab w:val="left" w:pos="5040"/>
                <w:tab w:val="left" w:pos="7470"/>
              </w:tabs>
              <w:suppressAutoHyphens/>
              <w:jc w:val="right"/>
              <w:rPr>
                <w:caps/>
              </w:rPr>
            </w:pPr>
            <w:r w:rsidRPr="00114B42">
              <w:t>Steelfield Road Landfill</w:t>
            </w:r>
          </w:p>
          <w:p w14:paraId="62B68E3C" w14:textId="44E9D8F2" w:rsidR="00114B42" w:rsidRPr="00114B42" w:rsidRDefault="00114B42" w:rsidP="00114B42">
            <w:pPr>
              <w:tabs>
                <w:tab w:val="left" w:pos="-1440"/>
                <w:tab w:val="left" w:pos="-720"/>
                <w:tab w:val="left" w:pos="5040"/>
                <w:tab w:val="left" w:pos="7470"/>
              </w:tabs>
              <w:suppressAutoHyphens/>
              <w:jc w:val="right"/>
              <w:rPr>
                <w:caps/>
              </w:rPr>
            </w:pPr>
            <w:r w:rsidRPr="00114B42">
              <w:t xml:space="preserve">Facility ID No. </w:t>
            </w:r>
            <w:r w:rsidRPr="00114B42">
              <w:rPr>
                <w:bCs/>
              </w:rPr>
              <w:t>0050090</w:t>
            </w:r>
          </w:p>
          <w:p w14:paraId="0769678F" w14:textId="7212D537" w:rsidR="00114B42" w:rsidRDefault="00114B42" w:rsidP="00114B42">
            <w:pPr>
              <w:tabs>
                <w:tab w:val="left" w:pos="-1440"/>
                <w:tab w:val="left" w:pos="-720"/>
                <w:tab w:val="left" w:pos="5040"/>
                <w:tab w:val="left" w:pos="7470"/>
              </w:tabs>
              <w:suppressAutoHyphens/>
              <w:jc w:val="right"/>
              <w:rPr>
                <w:b/>
                <w:caps/>
              </w:rPr>
            </w:pPr>
            <w:r>
              <w:t xml:space="preserve">Title V Air Operation Permit </w:t>
            </w:r>
            <w:r w:rsidRPr="00CB0DAA">
              <w:t>Renewal</w:t>
            </w:r>
          </w:p>
        </w:tc>
      </w:tr>
    </w:tbl>
    <w:p w14:paraId="1721ED96" w14:textId="1A0D17F6" w:rsidR="00AE52ED" w:rsidRPr="008459E4" w:rsidRDefault="00AE52ED" w:rsidP="00114B42">
      <w:pPr>
        <w:spacing w:before="240" w:after="120"/>
        <w:rPr>
          <w:sz w:val="24"/>
          <w:szCs w:val="24"/>
        </w:rPr>
      </w:pPr>
      <w:r w:rsidRPr="003044C3">
        <w:rPr>
          <w:szCs w:val="22"/>
        </w:rPr>
        <w:t xml:space="preserve">The purpose of this permit is to </w:t>
      </w:r>
      <w:r w:rsidR="001407E9">
        <w:rPr>
          <w:szCs w:val="22"/>
        </w:rPr>
        <w:t>renew</w:t>
      </w:r>
      <w:r w:rsidRPr="003044C3">
        <w:rPr>
          <w:szCs w:val="22"/>
        </w:rPr>
        <w:t xml:space="preserve"> the Title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Pr="003044C3">
        <w:rPr>
          <w:szCs w:val="22"/>
        </w:rPr>
        <w:t>.</w:t>
      </w:r>
      <w:r w:rsidR="008820F3">
        <w:rPr>
          <w:szCs w:val="22"/>
        </w:rPr>
        <w:t xml:space="preserve">  </w:t>
      </w:r>
      <w:r w:rsidR="008459E4">
        <w:t xml:space="preserve">The existing </w:t>
      </w:r>
      <w:r w:rsidR="001407E9">
        <w:t xml:space="preserve">Steelfield Road Landfill </w:t>
      </w:r>
      <w:r w:rsidR="008459E4">
        <w:t xml:space="preserve">is located </w:t>
      </w:r>
      <w:r w:rsidR="00D86BF0">
        <w:t xml:space="preserve">in </w:t>
      </w:r>
      <w:r w:rsidR="001407E9">
        <w:t>Bay</w:t>
      </w:r>
      <w:r w:rsidR="00D86BF0">
        <w:t xml:space="preserve"> County </w:t>
      </w:r>
      <w:r w:rsidR="008459E4">
        <w:t>at</w:t>
      </w:r>
      <w:r w:rsidR="00A72FBB">
        <w:t xml:space="preserve"> </w:t>
      </w:r>
      <w:r w:rsidR="001407E9">
        <w:t>11411 Landfill Road, Panama City Beach</w:t>
      </w:r>
      <w:r w:rsidR="008459E4">
        <w:t>.  UTM Coordinates are:  Zone 1</w:t>
      </w:r>
      <w:r w:rsidR="005A6039">
        <w:t>6</w:t>
      </w:r>
      <w:r w:rsidR="008459E4">
        <w:t>,</w:t>
      </w:r>
      <w:r w:rsidR="00A13BBF">
        <w:t xml:space="preserve"> </w:t>
      </w:r>
      <w:r w:rsidR="00C20B7A">
        <w:t>604.07 km East and 3359.43 km North</w:t>
      </w:r>
      <w:r w:rsidR="008459E4">
        <w:t xml:space="preserve">.  Latitude is:  </w:t>
      </w:r>
      <w:r w:rsidR="00C20B7A" w:rsidRPr="00C20B7A">
        <w:t>38º 21’ 36”</w:t>
      </w:r>
      <w:r w:rsidR="008459E4" w:rsidRPr="00C20B7A">
        <w:t xml:space="preserve"> North; and, Longitude is:  </w:t>
      </w:r>
      <w:r w:rsidR="00C20B7A" w:rsidRPr="00C20B7A">
        <w:t>85º 55’ 1”</w:t>
      </w:r>
      <w:r w:rsidR="008459E4" w:rsidRPr="00C20B7A">
        <w:t xml:space="preserve"> West</w:t>
      </w:r>
      <w:r w:rsidR="008459E4">
        <w:t>.</w:t>
      </w:r>
    </w:p>
    <w:p w14:paraId="0BA4507D" w14:textId="1B78F289" w:rsidR="00AE52ED" w:rsidRDefault="00AE52ED" w:rsidP="002D1C5F">
      <w:pPr>
        <w:pStyle w:val="BodyText2"/>
        <w:spacing w:line="240" w:lineRule="auto"/>
      </w:pPr>
      <w:r>
        <w:t>The Title V air operation permit is issued under the provisions of Chapter 403, Florida Statutes (F.S.), and Florida Administrative Code (F.A.C.) Chapters 62-4, 62-210,</w:t>
      </w:r>
      <w:r w:rsidR="00C20B7A">
        <w:t xml:space="preserve"> and</w:t>
      </w:r>
      <w:r>
        <w:t xml:space="preserve"> 62-213.  The above named permittee is hereby authorized to operate the facility in accordance with the terms and conditions of this permit.</w:t>
      </w:r>
    </w:p>
    <w:p w14:paraId="39B07958" w14:textId="77777777" w:rsidR="00AE52ED" w:rsidRDefault="006144AF"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Cs w:val="22"/>
        </w:rPr>
      </w:pPr>
      <w:r>
        <w:rPr>
          <w:szCs w:val="22"/>
        </w:rPr>
        <w:t>Executed in Tallahassee, Florida.</w:t>
      </w:r>
    </w:p>
    <w:p w14:paraId="422BE5B5" w14:textId="6EF44FA1" w:rsidR="00AE52ED" w:rsidRPr="00C01B12" w:rsidRDefault="00C20B7A"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highlight w:val="yellow"/>
        </w:rPr>
      </w:pPr>
      <w:r w:rsidRPr="00C20B7A">
        <w:rPr>
          <w:szCs w:val="22"/>
        </w:rPr>
        <w:t>0050090</w:t>
      </w:r>
      <w:r w:rsidR="002F1344" w:rsidRPr="00C20B7A">
        <w:rPr>
          <w:szCs w:val="22"/>
        </w:rPr>
        <w:t>-</w:t>
      </w:r>
      <w:r>
        <w:rPr>
          <w:szCs w:val="22"/>
        </w:rPr>
        <w:t>00</w:t>
      </w:r>
      <w:r w:rsidR="00F678D0">
        <w:rPr>
          <w:szCs w:val="22"/>
        </w:rPr>
        <w:t>2</w:t>
      </w:r>
      <w:r w:rsidR="002F1344">
        <w:rPr>
          <w:szCs w:val="22"/>
        </w:rPr>
        <w:t xml:space="preserve">-AV </w:t>
      </w:r>
      <w:r w:rsidR="00AE52ED" w:rsidRPr="00BC4CC4">
        <w:rPr>
          <w:szCs w:val="22"/>
        </w:rPr>
        <w:t xml:space="preserve">Effective Date:  </w:t>
      </w:r>
      <w:r w:rsidR="00966A51">
        <w:rPr>
          <w:szCs w:val="22"/>
        </w:rPr>
        <w:t>July 2</w:t>
      </w:r>
      <w:r w:rsidR="00966A51" w:rsidRPr="00966A51">
        <w:rPr>
          <w:szCs w:val="22"/>
        </w:rPr>
        <w:t>2</w:t>
      </w:r>
      <w:r w:rsidR="00AE52ED" w:rsidRPr="00966A51">
        <w:t>, 20</w:t>
      </w:r>
      <w:r w:rsidR="00966A51" w:rsidRPr="00966A51">
        <w:t>12</w:t>
      </w:r>
    </w:p>
    <w:p w14:paraId="29182832" w14:textId="22A036D5" w:rsidR="002F1344" w:rsidRDefault="00C20B7A"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C20B7A">
        <w:rPr>
          <w:szCs w:val="22"/>
        </w:rPr>
        <w:t>0050090</w:t>
      </w:r>
      <w:r w:rsidR="002F1344" w:rsidRPr="00C20B7A">
        <w:rPr>
          <w:szCs w:val="22"/>
        </w:rPr>
        <w:t>-</w:t>
      </w:r>
      <w:r w:rsidRPr="00C20B7A">
        <w:rPr>
          <w:szCs w:val="22"/>
        </w:rPr>
        <w:t>003</w:t>
      </w:r>
      <w:r w:rsidR="002F1344" w:rsidRPr="00C20B7A">
        <w:rPr>
          <w:szCs w:val="22"/>
        </w:rPr>
        <w:t>-AV</w:t>
      </w:r>
      <w:r w:rsidR="002F1344" w:rsidRPr="002F1344">
        <w:rPr>
          <w:szCs w:val="22"/>
          <w:highlight w:val="yellow"/>
        </w:rPr>
        <w:t xml:space="preserve"> Effective Date:  </w:t>
      </w:r>
      <w:r w:rsidR="002F1344" w:rsidRPr="002F1344">
        <w:rPr>
          <w:highlight w:val="yellow"/>
        </w:rPr>
        <w:t>D</w:t>
      </w:r>
      <w:r w:rsidR="002F1344" w:rsidRPr="00C01B12">
        <w:rPr>
          <w:highlight w:val="yellow"/>
        </w:rPr>
        <w:t>ATE, 20</w:t>
      </w:r>
      <w:r w:rsidR="002F1344" w:rsidRPr="002F1344">
        <w:rPr>
          <w:highlight w:val="yellow"/>
        </w:rPr>
        <w:t>yy</w:t>
      </w:r>
    </w:p>
    <w:p w14:paraId="1ECADF08" w14:textId="77777777" w:rsidR="00AE52ED" w:rsidRPr="00164C27" w:rsidRDefault="00AE52ED"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C01B12" w:rsidRPr="00C01B12">
        <w:rPr>
          <w:szCs w:val="22"/>
          <w:highlight w:val="yellow"/>
        </w:rPr>
        <w:t xml:space="preserve">Exp. </w:t>
      </w:r>
      <w:r w:rsidRPr="00C01B12">
        <w:rPr>
          <w:bCs/>
          <w:highlight w:val="yellow"/>
        </w:rPr>
        <w:t>DATE</w:t>
      </w:r>
      <w:r w:rsidR="00C01B12" w:rsidRPr="00C01B12">
        <w:rPr>
          <w:bCs/>
          <w:highlight w:val="yellow"/>
        </w:rPr>
        <w:t xml:space="preserve"> -225</w:t>
      </w:r>
      <w:r w:rsidRPr="00C01B12">
        <w:rPr>
          <w:bCs/>
          <w:highlight w:val="yellow"/>
        </w:rPr>
        <w:t>, 20</w:t>
      </w:r>
      <w:r w:rsidR="002F1344" w:rsidRPr="002F1344">
        <w:rPr>
          <w:bCs/>
          <w:highlight w:val="yellow"/>
        </w:rPr>
        <w:t>zz</w:t>
      </w:r>
    </w:p>
    <w:p w14:paraId="67DAF9B7" w14:textId="77777777" w:rsidR="00AE52ED" w:rsidRPr="00B7362C" w:rsidRDefault="00AE52ED" w:rsidP="006144AF">
      <w:pPr>
        <w:rPr>
          <w:szCs w:val="22"/>
        </w:rPr>
      </w:pPr>
      <w:r w:rsidRPr="00164C27">
        <w:rPr>
          <w:szCs w:val="22"/>
        </w:rPr>
        <w:t xml:space="preserve">Expiration Date:  </w:t>
      </w:r>
      <w:r w:rsidR="00C01B12" w:rsidRPr="00C01B12">
        <w:rPr>
          <w:szCs w:val="22"/>
          <w:highlight w:val="yellow"/>
        </w:rPr>
        <w:t xml:space="preserve">Eff. </w:t>
      </w:r>
      <w:r w:rsidRPr="00C01B12">
        <w:rPr>
          <w:bCs/>
          <w:szCs w:val="24"/>
          <w:highlight w:val="yellow"/>
        </w:rPr>
        <w:t>DATE</w:t>
      </w:r>
      <w:r w:rsidR="002F1344">
        <w:rPr>
          <w:bCs/>
          <w:szCs w:val="24"/>
          <w:highlight w:val="yellow"/>
        </w:rPr>
        <w:t xml:space="preserve"> </w:t>
      </w:r>
      <w:r w:rsidR="002F1344" w:rsidRPr="00C01B12">
        <w:rPr>
          <w:szCs w:val="22"/>
          <w:highlight w:val="yellow"/>
        </w:rPr>
        <w:t>+ 5 years</w:t>
      </w:r>
      <w:r w:rsidRPr="00C01B12">
        <w:rPr>
          <w:bCs/>
          <w:szCs w:val="24"/>
          <w:highlight w:val="yellow"/>
        </w:rPr>
        <w:t>, 20</w:t>
      </w:r>
      <w:r w:rsidR="002F1344" w:rsidRPr="002F1344">
        <w:rPr>
          <w:bCs/>
          <w:szCs w:val="24"/>
          <w:highlight w:val="yellow"/>
        </w:rPr>
        <w:t>zz</w:t>
      </w:r>
    </w:p>
    <w:p w14:paraId="56AACA14" w14:textId="77777777" w:rsidR="00AE52ED" w:rsidRDefault="00AE52ED" w:rsidP="006144AF">
      <w:pPr>
        <w:pStyle w:val="Style0"/>
        <w:rPr>
          <w:rFonts w:ascii="Times New Roman" w:hAnsi="Times New Roman"/>
          <w:sz w:val="22"/>
          <w:szCs w:val="22"/>
        </w:rPr>
      </w:pPr>
    </w:p>
    <w:p w14:paraId="711750FB" w14:textId="77777777" w:rsidR="002F1344" w:rsidRPr="00B7362C" w:rsidRDefault="002F1344" w:rsidP="006144AF">
      <w:pPr>
        <w:pStyle w:val="Style0"/>
        <w:rPr>
          <w:rFonts w:ascii="Times New Roman" w:hAnsi="Times New Roman"/>
          <w:sz w:val="22"/>
          <w:szCs w:val="22"/>
        </w:rPr>
      </w:pPr>
    </w:p>
    <w:p w14:paraId="268AA6B8" w14:textId="7305FD84" w:rsidR="00AE52ED" w:rsidRPr="006144AF" w:rsidRDefault="00AE52ED" w:rsidP="006144AF">
      <w:pPr>
        <w:tabs>
          <w:tab w:val="left" w:pos="6840"/>
        </w:tabs>
        <w:rPr>
          <w:b/>
          <w:i/>
          <w:szCs w:val="22"/>
        </w:rPr>
      </w:pPr>
      <w:r w:rsidRPr="00221AA1">
        <w:rPr>
          <w:b/>
          <w:i/>
          <w:szCs w:val="22"/>
          <w:highlight w:val="yellow"/>
        </w:rPr>
        <w:t>(</w:t>
      </w:r>
      <w:r w:rsidR="00221AA1" w:rsidRPr="00221AA1">
        <w:rPr>
          <w:b/>
          <w:i/>
          <w:szCs w:val="22"/>
          <w:highlight w:val="yellow"/>
        </w:rPr>
        <w:t>Proposed</w:t>
      </w:r>
      <w:r w:rsidRPr="00221AA1">
        <w:rPr>
          <w:b/>
          <w:i/>
          <w:szCs w:val="22"/>
          <w:highlight w:val="yellow"/>
        </w:rPr>
        <w:t>)</w:t>
      </w:r>
      <w:bookmarkStart w:id="4" w:name="_GoBack"/>
      <w:bookmarkEnd w:id="4"/>
    </w:p>
    <w:p w14:paraId="302AAC4C" w14:textId="2A66D8B3" w:rsidR="00B118BD" w:rsidRDefault="00B118BD" w:rsidP="006144AF">
      <w:pPr>
        <w:widowControl w:val="0"/>
        <w:tabs>
          <w:tab w:val="left" w:pos="7200"/>
          <w:tab w:val="left" w:pos="8910"/>
          <w:tab w:val="left" w:pos="9360"/>
        </w:tabs>
        <w:rPr>
          <w:i/>
          <w:szCs w:val="22"/>
        </w:rPr>
      </w:pPr>
    </w:p>
    <w:p w14:paraId="46941043" w14:textId="77777777" w:rsidR="00114B42" w:rsidRDefault="00114B42" w:rsidP="006144AF">
      <w:pPr>
        <w:widowControl w:val="0"/>
        <w:tabs>
          <w:tab w:val="left" w:pos="7200"/>
          <w:tab w:val="left" w:pos="8910"/>
          <w:tab w:val="left" w:pos="9360"/>
        </w:tabs>
        <w:rPr>
          <w:i/>
          <w:szCs w:val="22"/>
        </w:rPr>
      </w:pPr>
    </w:p>
    <w:p w14:paraId="7020B613" w14:textId="77777777" w:rsidR="006144AF" w:rsidRDefault="006144AF" w:rsidP="00114B42">
      <w:pPr>
        <w:widowControl w:val="0"/>
        <w:tabs>
          <w:tab w:val="left" w:pos="7200"/>
          <w:tab w:val="left" w:pos="8910"/>
          <w:tab w:val="left" w:pos="9360"/>
        </w:tabs>
        <w:spacing w:after="60"/>
        <w:rPr>
          <w:i/>
          <w:szCs w:val="22"/>
        </w:rPr>
      </w:pPr>
      <w:r w:rsidRPr="005B531C">
        <w:rPr>
          <w:i/>
          <w:szCs w:val="22"/>
        </w:rPr>
        <w:t>F</w:t>
      </w:r>
      <w:r w:rsidR="00B118BD" w:rsidRPr="005B531C">
        <w:rPr>
          <w:i/>
          <w:szCs w:val="22"/>
        </w:rPr>
        <w:t>or</w:t>
      </w:r>
      <w:r>
        <w:rPr>
          <w:i/>
          <w:szCs w:val="22"/>
        </w:rPr>
        <w:t>:</w:t>
      </w:r>
    </w:p>
    <w:p w14:paraId="31F5E845" w14:textId="77777777" w:rsidR="00B118BD" w:rsidRDefault="006144AF" w:rsidP="00114B42">
      <w:pPr>
        <w:widowControl w:val="0"/>
        <w:tabs>
          <w:tab w:val="left" w:pos="7200"/>
          <w:tab w:val="left" w:pos="8910"/>
          <w:tab w:val="left" w:pos="9360"/>
        </w:tabs>
        <w:ind w:right="6390"/>
        <w:rPr>
          <w:szCs w:val="22"/>
        </w:rPr>
      </w:pPr>
      <w:r>
        <w:rPr>
          <w:szCs w:val="22"/>
        </w:rPr>
        <w:t>Syed Arif, P.E., Program Administrator</w:t>
      </w:r>
    </w:p>
    <w:p w14:paraId="41DC7229" w14:textId="77777777" w:rsidR="006144AF" w:rsidRPr="009B54ED" w:rsidRDefault="006144AF" w:rsidP="006144AF">
      <w:pPr>
        <w:widowControl w:val="0"/>
        <w:tabs>
          <w:tab w:val="left" w:pos="7200"/>
          <w:tab w:val="left" w:pos="8910"/>
          <w:tab w:val="left" w:pos="9360"/>
        </w:tabs>
        <w:rPr>
          <w:szCs w:val="22"/>
        </w:rPr>
      </w:pPr>
      <w:r>
        <w:rPr>
          <w:szCs w:val="22"/>
        </w:rPr>
        <w:t>Office of Permitting and Compliance</w:t>
      </w:r>
    </w:p>
    <w:p w14:paraId="41147998" w14:textId="77777777" w:rsidR="00B118BD" w:rsidRPr="00885F02" w:rsidRDefault="00B118BD" w:rsidP="006144AF">
      <w:pPr>
        <w:tabs>
          <w:tab w:val="left" w:pos="3600"/>
        </w:tabs>
        <w:jc w:val="both"/>
        <w:rPr>
          <w:szCs w:val="22"/>
        </w:rPr>
      </w:pPr>
      <w:r w:rsidRPr="00885F02">
        <w:rPr>
          <w:szCs w:val="22"/>
        </w:rPr>
        <w:t>Division of Air Resource Management</w:t>
      </w:r>
    </w:p>
    <w:p w14:paraId="498988DF" w14:textId="77777777" w:rsidR="00AE52ED" w:rsidRDefault="00AE52ED" w:rsidP="00AE52ED">
      <w:pPr>
        <w:jc w:val="both"/>
        <w:rPr>
          <w:szCs w:val="22"/>
        </w:rPr>
      </w:pPr>
    </w:p>
    <w:p w14:paraId="3C54A5E2" w14:textId="77777777" w:rsidR="00B118BD" w:rsidRPr="0080460A" w:rsidRDefault="006144AF" w:rsidP="00B118BD">
      <w:pPr>
        <w:keepNext/>
        <w:rPr>
          <w:szCs w:val="22"/>
        </w:rPr>
      </w:pPr>
      <w:r>
        <w:rPr>
          <w:szCs w:val="22"/>
        </w:rPr>
        <w:t>SA/dlr</w:t>
      </w:r>
      <w:r w:rsidR="00B118BD">
        <w:rPr>
          <w:szCs w:val="22"/>
        </w:rPr>
        <w:t>/</w:t>
      </w:r>
      <w:r w:rsidR="005A6039">
        <w:rPr>
          <w:szCs w:val="22"/>
        </w:rPr>
        <w:t>srl</w:t>
      </w:r>
    </w:p>
    <w:p w14:paraId="166CA4E6" w14:textId="77777777" w:rsidR="00AE52ED" w:rsidRDefault="00AE52ED" w:rsidP="00AE52ED">
      <w:pPr>
        <w:jc w:val="both"/>
        <w:rPr>
          <w:szCs w:val="22"/>
        </w:rPr>
        <w:sectPr w:rsidR="00AE52ED" w:rsidSect="00F51343">
          <w:headerReference w:type="even" r:id="rId21"/>
          <w:headerReference w:type="default" r:id="rId22"/>
          <w:footerReference w:type="default" r:id="rId23"/>
          <w:headerReference w:type="first" r:id="rId24"/>
          <w:pgSz w:w="12240" w:h="15840" w:code="1"/>
          <w:pgMar w:top="1140" w:right="1080" w:bottom="720" w:left="1080" w:header="720" w:footer="720" w:gutter="0"/>
          <w:paperSrc w:first="15" w:other="15"/>
          <w:pgNumType w:start="1"/>
          <w:cols w:space="720"/>
        </w:sectPr>
      </w:pPr>
    </w:p>
    <w:p w14:paraId="60FEBE34" w14:textId="77777777" w:rsidR="00C01B12" w:rsidRPr="001E5E57" w:rsidRDefault="00A9193B" w:rsidP="001E5E57">
      <w:pPr>
        <w:spacing w:after="120"/>
        <w:rPr>
          <w:smallCaps/>
          <w:szCs w:val="22"/>
        </w:rPr>
      </w:pPr>
      <w:bookmarkStart w:id="5" w:name="SubsectionA"/>
      <w:bookmarkEnd w:id="5"/>
      <w:r w:rsidRPr="00A9193B">
        <w:rPr>
          <w:b/>
          <w:szCs w:val="22"/>
          <w:u w:val="single"/>
        </w:rPr>
        <w:lastRenderedPageBreak/>
        <w:t>Subsection A.  Facility Description</w:t>
      </w:r>
      <w:bookmarkStart w:id="6" w:name="SectionIA"/>
      <w:bookmarkEnd w:id="6"/>
      <w:r w:rsidR="001E5E57" w:rsidRPr="001E5E57">
        <w:rPr>
          <w:b/>
          <w:smallCaps/>
          <w:szCs w:val="22"/>
        </w:rPr>
        <w:t>.</w:t>
      </w:r>
    </w:p>
    <w:p w14:paraId="2B496F39" w14:textId="4CB9F6E6" w:rsidR="00066971" w:rsidRDefault="00E029FC" w:rsidP="00066971">
      <w:pPr>
        <w:pStyle w:val="BodyText3"/>
        <w:numPr>
          <w:ilvl w:val="12"/>
          <w:numId w:val="0"/>
        </w:numPr>
        <w:rPr>
          <w:sz w:val="22"/>
          <w:szCs w:val="22"/>
        </w:rPr>
      </w:pPr>
      <w:r>
        <w:rPr>
          <w:sz w:val="22"/>
          <w:szCs w:val="22"/>
        </w:rPr>
        <w:t>The Steelfield Road Landfill</w:t>
      </w:r>
      <w:r w:rsidR="004D1A89">
        <w:rPr>
          <w:sz w:val="22"/>
          <w:szCs w:val="22"/>
        </w:rPr>
        <w:t xml:space="preserve"> is a municipal solid waste (MSW) landfill that</w:t>
      </w:r>
      <w:r>
        <w:rPr>
          <w:sz w:val="22"/>
          <w:szCs w:val="22"/>
        </w:rPr>
        <w:t xml:space="preserve"> </w:t>
      </w:r>
      <w:r w:rsidR="005009A5">
        <w:rPr>
          <w:sz w:val="22"/>
          <w:szCs w:val="22"/>
        </w:rPr>
        <w:t xml:space="preserve">resides on approximately 640 acres of land.  </w:t>
      </w:r>
      <w:r w:rsidR="00066971">
        <w:rPr>
          <w:sz w:val="22"/>
          <w:szCs w:val="22"/>
        </w:rPr>
        <w:t>The landfill has a design capacity of 5.95</w:t>
      </w:r>
      <w:r w:rsidR="004D1A89">
        <w:rPr>
          <w:sz w:val="22"/>
          <w:szCs w:val="22"/>
        </w:rPr>
        <w:t xml:space="preserve"> million</w:t>
      </w:r>
      <w:r w:rsidR="00066971">
        <w:rPr>
          <w:sz w:val="22"/>
          <w:szCs w:val="22"/>
        </w:rPr>
        <w:t xml:space="preserve"> megagrams</w:t>
      </w:r>
      <w:r w:rsidR="004D1A89">
        <w:rPr>
          <w:sz w:val="22"/>
          <w:szCs w:val="22"/>
        </w:rPr>
        <w:t xml:space="preserve"> </w:t>
      </w:r>
      <w:r w:rsidR="00066971">
        <w:rPr>
          <w:sz w:val="22"/>
          <w:szCs w:val="22"/>
        </w:rPr>
        <w:t xml:space="preserve">as reported by the permittee in the Initial Design Capacity Report dated May 2, 2006.  The landfill’s initial permit was issued on August 26, 1987.  Construction commenced in July of 1987 and started receiving waste on October 1, 1987.  </w:t>
      </w:r>
    </w:p>
    <w:p w14:paraId="640EAD7A" w14:textId="29714427" w:rsidR="00066971" w:rsidRDefault="005009A5" w:rsidP="00D155D9">
      <w:pPr>
        <w:pStyle w:val="BodyText3"/>
        <w:numPr>
          <w:ilvl w:val="12"/>
          <w:numId w:val="0"/>
        </w:numPr>
        <w:rPr>
          <w:sz w:val="22"/>
          <w:szCs w:val="22"/>
        </w:rPr>
      </w:pPr>
      <w:r>
        <w:rPr>
          <w:sz w:val="22"/>
          <w:szCs w:val="22"/>
        </w:rPr>
        <w:t>The facility contains a closed Class III landfill and an active Class I landfill with Class I and Class III disposal areas a</w:t>
      </w:r>
      <w:r w:rsidR="00452B98">
        <w:rPr>
          <w:sz w:val="22"/>
          <w:szCs w:val="22"/>
        </w:rPr>
        <w:t xml:space="preserve">nd a household drop-off/recycling area.  The Class I landfill area consists of closed Cells 1 and 2, active Cells 3 and 4, active Cell 5 (constructed around 2012), future Cells 6 through </w:t>
      </w:r>
      <w:r w:rsidR="00F81919">
        <w:rPr>
          <w:sz w:val="22"/>
          <w:szCs w:val="22"/>
        </w:rPr>
        <w:t>8</w:t>
      </w:r>
      <w:r w:rsidR="00003A24">
        <w:rPr>
          <w:sz w:val="22"/>
          <w:szCs w:val="22"/>
        </w:rPr>
        <w:t xml:space="preserve">, and future disposal Phases I through IV.  </w:t>
      </w:r>
      <w:r w:rsidR="00157A87">
        <w:rPr>
          <w:sz w:val="22"/>
          <w:szCs w:val="22"/>
        </w:rPr>
        <w:t>The Class III landfill consists of closed Cell</w:t>
      </w:r>
      <w:r w:rsidR="009573F6">
        <w:rPr>
          <w:sz w:val="22"/>
          <w:szCs w:val="22"/>
        </w:rPr>
        <w:t>s</w:t>
      </w:r>
      <w:r w:rsidR="00157A87">
        <w:rPr>
          <w:sz w:val="22"/>
          <w:szCs w:val="22"/>
        </w:rPr>
        <w:t xml:space="preserve"> A</w:t>
      </w:r>
      <w:r w:rsidR="00F81919">
        <w:rPr>
          <w:sz w:val="22"/>
          <w:szCs w:val="22"/>
        </w:rPr>
        <w:t>,</w:t>
      </w:r>
      <w:r w:rsidR="00157A87">
        <w:rPr>
          <w:sz w:val="22"/>
          <w:szCs w:val="22"/>
        </w:rPr>
        <w:t xml:space="preserve"> Aa</w:t>
      </w:r>
      <w:r w:rsidR="009573F6">
        <w:rPr>
          <w:sz w:val="22"/>
          <w:szCs w:val="22"/>
        </w:rPr>
        <w:t>,</w:t>
      </w:r>
      <w:r w:rsidR="00157A87">
        <w:rPr>
          <w:sz w:val="22"/>
          <w:szCs w:val="22"/>
        </w:rPr>
        <w:t xml:space="preserve"> and B</w:t>
      </w:r>
      <w:r w:rsidR="00F81919">
        <w:rPr>
          <w:sz w:val="22"/>
          <w:szCs w:val="22"/>
        </w:rPr>
        <w:t>, and future Cells C and D</w:t>
      </w:r>
      <w:r w:rsidR="00157A87">
        <w:rPr>
          <w:sz w:val="22"/>
          <w:szCs w:val="22"/>
        </w:rPr>
        <w:t xml:space="preserve">.  </w:t>
      </w:r>
      <w:r w:rsidR="008E7151">
        <w:rPr>
          <w:sz w:val="22"/>
          <w:szCs w:val="22"/>
        </w:rPr>
        <w:t>Cells 1 and 2 have a single liner.  Cells 3 and 4 have double synthetic liner systems.  Cells A</w:t>
      </w:r>
      <w:r w:rsidR="00066971">
        <w:rPr>
          <w:sz w:val="22"/>
          <w:szCs w:val="22"/>
        </w:rPr>
        <w:t>, Aa,</w:t>
      </w:r>
      <w:r w:rsidR="008E7151">
        <w:rPr>
          <w:sz w:val="22"/>
          <w:szCs w:val="22"/>
        </w:rPr>
        <w:t xml:space="preserve"> and B are unlined.  Cell 5 is lined with a double high-density polyethylene (HDPE) composite liner, followed by a layer of bentonite clay and a layer of compacted clay.</w:t>
      </w:r>
      <w:r w:rsidR="00066971">
        <w:rPr>
          <w:sz w:val="22"/>
          <w:szCs w:val="22"/>
        </w:rPr>
        <w:t xml:space="preserve">  The Class III landfill is being mined</w:t>
      </w:r>
      <w:r w:rsidR="00CA5BA2">
        <w:rPr>
          <w:sz w:val="22"/>
          <w:szCs w:val="22"/>
        </w:rPr>
        <w:t xml:space="preserve"> according to the mining plan submitted in the June 2012 Permit Modification Application.  Excavated waste and soil from the Class III cells will be processed and partially reused as Class I landfill cover material.  The remaining excavated material will be disposed of in the lined Class I landfill cells.  </w:t>
      </w:r>
      <w:r w:rsidR="009E0ABC">
        <w:rPr>
          <w:sz w:val="22"/>
          <w:szCs w:val="22"/>
        </w:rPr>
        <w:t>The facility also has a leachate storage tank, but no leachate recirculation system.  Leachate is transported to an advanced wastewater treatment facility.</w:t>
      </w:r>
    </w:p>
    <w:p w14:paraId="38FEA0FA" w14:textId="50FC9D9B" w:rsidR="004D1A89" w:rsidRDefault="00032CD6" w:rsidP="00D155D9">
      <w:pPr>
        <w:pStyle w:val="BodyText3"/>
        <w:numPr>
          <w:ilvl w:val="12"/>
          <w:numId w:val="0"/>
        </w:numPr>
        <w:rPr>
          <w:sz w:val="22"/>
          <w:szCs w:val="22"/>
        </w:rPr>
      </w:pPr>
      <w:r>
        <w:rPr>
          <w:sz w:val="22"/>
          <w:szCs w:val="22"/>
        </w:rPr>
        <w:t xml:space="preserve">The property </w:t>
      </w:r>
      <w:r w:rsidR="00D911B3">
        <w:rPr>
          <w:sz w:val="22"/>
          <w:szCs w:val="22"/>
        </w:rPr>
        <w:t xml:space="preserve">contains 162.6 acres of landfill area and a 116-acre disposal area.  </w:t>
      </w:r>
      <w:r w:rsidR="0091619D">
        <w:rPr>
          <w:sz w:val="22"/>
          <w:szCs w:val="22"/>
        </w:rPr>
        <w:t xml:space="preserve">Cells 1 and 2 </w:t>
      </w:r>
      <w:r w:rsidR="007849BF">
        <w:rPr>
          <w:sz w:val="22"/>
          <w:szCs w:val="22"/>
        </w:rPr>
        <w:t xml:space="preserve">occupy 20.2 acres, Cells 3 and 4 occupy 19.5 acres, Cell 5 occupies 13.4 acres, future Cells 6, 7, and 8 occupy 47.2 acres, Cells A, Aa, and B occupy 17.4 acres, and Cells C and D occupy 44.9 acres.  </w:t>
      </w:r>
      <w:r w:rsidR="009E0ABC">
        <w:rPr>
          <w:sz w:val="22"/>
          <w:szCs w:val="22"/>
        </w:rPr>
        <w:t>There are nine vents on the closed Class I and Class III cells that passively vent landfill gas (LFG) into the atmosphere.</w:t>
      </w:r>
    </w:p>
    <w:p w14:paraId="3A8AF9C8" w14:textId="0306B93B" w:rsidR="00CA5BA2" w:rsidRDefault="00CA5BA2" w:rsidP="00CA5BA2">
      <w:pPr>
        <w:spacing w:before="120" w:after="120"/>
        <w:jc w:val="both"/>
        <w:rPr>
          <w:i/>
        </w:rPr>
      </w:pPr>
      <w:r w:rsidRPr="005A6A78">
        <w:t xml:space="preserve">Also included in this permit are miscellaneous insignificant emissions units and/or activities </w:t>
      </w:r>
      <w:r w:rsidRPr="00CA5BA2">
        <w:rPr>
          <w:i/>
        </w:rPr>
        <w:t>(see Appendix I, List of Insignificant Emissions Units and/or Activities).</w:t>
      </w:r>
    </w:p>
    <w:p w14:paraId="6FB5C486" w14:textId="77777777" w:rsidR="00C01B12" w:rsidRPr="001E5E57" w:rsidRDefault="00C01B12" w:rsidP="00A30956">
      <w:pPr>
        <w:spacing w:after="120"/>
        <w:rPr>
          <w:b/>
          <w:smallCaps/>
          <w:szCs w:val="22"/>
        </w:rPr>
      </w:pPr>
      <w:bookmarkStart w:id="7" w:name="SectionIB"/>
      <w:r w:rsidRPr="00A30956">
        <w:rPr>
          <w:b/>
          <w:szCs w:val="22"/>
          <w:u w:val="single"/>
        </w:rPr>
        <w:t>Subsection B.  Summary of Emissions Units</w:t>
      </w:r>
      <w:r w:rsidR="001E5E57" w:rsidRPr="00A30956">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78A3467E" w14:textId="77777777" w:rsidTr="00227376">
        <w:tc>
          <w:tcPr>
            <w:tcW w:w="1016" w:type="dxa"/>
            <w:tcBorders>
              <w:top w:val="single" w:sz="12" w:space="0" w:color="auto"/>
              <w:bottom w:val="single" w:sz="12" w:space="0" w:color="auto"/>
            </w:tcBorders>
          </w:tcPr>
          <w:bookmarkEnd w:id="7"/>
          <w:p w14:paraId="2B413B2D" w14:textId="77777777"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14:paraId="0087E686" w14:textId="77777777" w:rsidR="00C01B12" w:rsidRPr="00EF1A9E" w:rsidRDefault="00C01B12" w:rsidP="00D66F5B">
            <w:pPr>
              <w:pStyle w:val="Heading2"/>
              <w:rPr>
                <w:sz w:val="20"/>
                <w:u w:val="none"/>
              </w:rPr>
            </w:pPr>
            <w:r w:rsidRPr="00EF1A9E">
              <w:rPr>
                <w:sz w:val="20"/>
                <w:u w:val="none"/>
              </w:rPr>
              <w:t>Brief Description</w:t>
            </w:r>
          </w:p>
        </w:tc>
      </w:tr>
      <w:tr w:rsidR="00C01B12" w14:paraId="2D0A52BF" w14:textId="77777777" w:rsidTr="00227376">
        <w:tc>
          <w:tcPr>
            <w:tcW w:w="9954" w:type="dxa"/>
            <w:gridSpan w:val="2"/>
            <w:tcBorders>
              <w:top w:val="single" w:sz="12" w:space="0" w:color="auto"/>
            </w:tcBorders>
          </w:tcPr>
          <w:p w14:paraId="2AD4493C" w14:textId="77777777" w:rsidR="00C01B12" w:rsidRPr="00EF1A9E" w:rsidRDefault="00C01B12" w:rsidP="00D66F5B">
            <w:pPr>
              <w:rPr>
                <w:i/>
              </w:rPr>
            </w:pPr>
            <w:r w:rsidRPr="00EF1A9E">
              <w:rPr>
                <w:i/>
              </w:rPr>
              <w:t>Regulated Emissions Units</w:t>
            </w:r>
          </w:p>
        </w:tc>
      </w:tr>
      <w:tr w:rsidR="00C01B12" w14:paraId="1AC00806" w14:textId="77777777" w:rsidTr="00227376">
        <w:tc>
          <w:tcPr>
            <w:tcW w:w="1016" w:type="dxa"/>
          </w:tcPr>
          <w:p w14:paraId="00153BF6" w14:textId="77777777" w:rsidR="00C01B12" w:rsidRPr="00B25ABA" w:rsidRDefault="00C01B12" w:rsidP="00D66F5B">
            <w:pPr>
              <w:jc w:val="center"/>
              <w:rPr>
                <w:highlight w:val="yellow"/>
              </w:rPr>
            </w:pPr>
            <w:r w:rsidRPr="00227376">
              <w:t>001</w:t>
            </w:r>
          </w:p>
        </w:tc>
        <w:tc>
          <w:tcPr>
            <w:tcW w:w="8938" w:type="dxa"/>
          </w:tcPr>
          <w:p w14:paraId="49AA0649" w14:textId="36758ED1" w:rsidR="00C01B12" w:rsidRPr="00EF1A9E" w:rsidRDefault="00227376" w:rsidP="00D66F5B">
            <w:r>
              <w:t xml:space="preserve">Municipal Solid Waste </w:t>
            </w:r>
            <w:r w:rsidR="00C1603F">
              <w:t>Landfill</w:t>
            </w:r>
          </w:p>
        </w:tc>
      </w:tr>
    </w:tbl>
    <w:p w14:paraId="1AAC1742" w14:textId="77777777" w:rsidR="00C01B12" w:rsidRPr="00A30956" w:rsidRDefault="00C01B12" w:rsidP="00CA5BA2">
      <w:pPr>
        <w:spacing w:before="120" w:after="120"/>
        <w:rPr>
          <w:b/>
          <w:szCs w:val="22"/>
          <w:u w:val="single"/>
        </w:rPr>
      </w:pPr>
      <w:bookmarkStart w:id="8" w:name="SectionIC"/>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bookmarkEnd w:id="8"/>
    </w:p>
    <w:p w14:paraId="5704F380" w14:textId="79829E8F"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A34C48">
        <w:rPr>
          <w:sz w:val="22"/>
          <w:szCs w:val="22"/>
        </w:rPr>
        <w:t>December 8, 2016</w:t>
      </w:r>
      <w:r>
        <w:rPr>
          <w:sz w:val="22"/>
          <w:szCs w:val="22"/>
        </w:rPr>
        <w:t xml:space="preserve">, this facility </w:t>
      </w:r>
      <w:r w:rsidR="002F1344" w:rsidRPr="00334634">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14:paraId="5A78FAC7" w14:textId="77777777" w:rsidTr="001B08E3">
        <w:tc>
          <w:tcPr>
            <w:tcW w:w="6894" w:type="dxa"/>
            <w:tcBorders>
              <w:top w:val="single" w:sz="12" w:space="0" w:color="auto"/>
              <w:bottom w:val="single" w:sz="12" w:space="0" w:color="auto"/>
            </w:tcBorders>
          </w:tcPr>
          <w:p w14:paraId="73FE5C00" w14:textId="77777777" w:rsidR="00C01B12" w:rsidRPr="00EF1A9E" w:rsidRDefault="00C01B12" w:rsidP="00D66F5B">
            <w:pPr>
              <w:rPr>
                <w:b/>
              </w:rPr>
            </w:pPr>
            <w:r>
              <w:rPr>
                <w:b/>
              </w:rPr>
              <w:t>Regulation</w:t>
            </w:r>
          </w:p>
        </w:tc>
        <w:tc>
          <w:tcPr>
            <w:tcW w:w="3060" w:type="dxa"/>
            <w:tcBorders>
              <w:top w:val="single" w:sz="12" w:space="0" w:color="auto"/>
              <w:bottom w:val="single" w:sz="12" w:space="0" w:color="auto"/>
            </w:tcBorders>
          </w:tcPr>
          <w:p w14:paraId="001C586D" w14:textId="77777777" w:rsidR="00C01B12" w:rsidRPr="00B05E70" w:rsidRDefault="00C01B12" w:rsidP="00D66F5B">
            <w:pPr>
              <w:pStyle w:val="Heading2"/>
              <w:rPr>
                <w:sz w:val="20"/>
                <w:u w:val="none"/>
              </w:rPr>
            </w:pPr>
            <w:r w:rsidRPr="00B05E70">
              <w:rPr>
                <w:u w:val="none"/>
              </w:rPr>
              <w:t>EU No</w:t>
            </w:r>
            <w:r>
              <w:rPr>
                <w:u w:val="none"/>
              </w:rPr>
              <w:t>(s)</w:t>
            </w:r>
            <w:r w:rsidRPr="00B05E70">
              <w:rPr>
                <w:u w:val="none"/>
              </w:rPr>
              <w:t>.</w:t>
            </w:r>
          </w:p>
        </w:tc>
      </w:tr>
      <w:tr w:rsidR="00D521CD" w14:paraId="31B3BB5D" w14:textId="77777777" w:rsidTr="001B08E3">
        <w:tc>
          <w:tcPr>
            <w:tcW w:w="9954" w:type="dxa"/>
            <w:gridSpan w:val="2"/>
            <w:tcBorders>
              <w:top w:val="single" w:sz="12" w:space="0" w:color="auto"/>
              <w:bottom w:val="single" w:sz="4" w:space="0" w:color="auto"/>
            </w:tcBorders>
          </w:tcPr>
          <w:p w14:paraId="6E399270" w14:textId="77777777" w:rsidR="00D521CD" w:rsidRPr="00B05E70" w:rsidRDefault="00D521CD" w:rsidP="00D521CD">
            <w:pPr>
              <w:jc w:val="center"/>
            </w:pPr>
            <w:r w:rsidRPr="00115F13">
              <w:rPr>
                <w:i/>
              </w:rPr>
              <w:t>Federal Rule Citations</w:t>
            </w:r>
          </w:p>
        </w:tc>
      </w:tr>
      <w:tr w:rsidR="00C01B12" w14:paraId="300A8447" w14:textId="77777777" w:rsidTr="001B08E3">
        <w:tc>
          <w:tcPr>
            <w:tcW w:w="6894" w:type="dxa"/>
            <w:tcBorders>
              <w:top w:val="single" w:sz="4" w:space="0" w:color="auto"/>
            </w:tcBorders>
          </w:tcPr>
          <w:p w14:paraId="5727AF2F" w14:textId="56F4BA92" w:rsidR="00C01B12" w:rsidRPr="001B08E3" w:rsidRDefault="00C01B12" w:rsidP="00D66F5B">
            <w:r w:rsidRPr="001B08E3">
              <w:t>40 CFR 60</w:t>
            </w:r>
            <w:r w:rsidR="004B41CD" w:rsidRPr="001B08E3">
              <w:t>,</w:t>
            </w:r>
            <w:r w:rsidRPr="001B08E3">
              <w:t xml:space="preserve"> Subpart A</w:t>
            </w:r>
            <w:r w:rsidR="00203522">
              <w:t>,</w:t>
            </w:r>
            <w:r w:rsidRPr="001B08E3">
              <w:t xml:space="preserve"> NSPS General Provisions</w:t>
            </w:r>
          </w:p>
        </w:tc>
        <w:tc>
          <w:tcPr>
            <w:tcW w:w="3060" w:type="dxa"/>
            <w:tcBorders>
              <w:top w:val="single" w:sz="4" w:space="0" w:color="auto"/>
            </w:tcBorders>
          </w:tcPr>
          <w:p w14:paraId="28787418" w14:textId="0E9B23C1" w:rsidR="00C01B12" w:rsidRPr="00B05E70" w:rsidRDefault="001B08E3" w:rsidP="00D66F5B">
            <w:r>
              <w:t>001</w:t>
            </w:r>
          </w:p>
        </w:tc>
      </w:tr>
      <w:tr w:rsidR="004B41CD" w14:paraId="53B3C686" w14:textId="77777777" w:rsidTr="001B08E3">
        <w:tc>
          <w:tcPr>
            <w:tcW w:w="6894" w:type="dxa"/>
          </w:tcPr>
          <w:p w14:paraId="4B9F7C69" w14:textId="65ED9F24" w:rsidR="004B41CD" w:rsidRPr="00525CAE" w:rsidRDefault="004B41CD" w:rsidP="00D66F5B">
            <w:pPr>
              <w:rPr>
                <w:highlight w:val="yellow"/>
              </w:rPr>
            </w:pPr>
            <w:r w:rsidRPr="00367DD1">
              <w:t>40 CFR 6</w:t>
            </w:r>
            <w:r w:rsidR="00071A24" w:rsidRPr="00367DD1">
              <w:t>0</w:t>
            </w:r>
            <w:r w:rsidRPr="00367DD1">
              <w:t xml:space="preserve">, Subpart </w:t>
            </w:r>
            <w:r w:rsidR="001B08E3" w:rsidRPr="00367DD1">
              <w:t>XXX</w:t>
            </w:r>
            <w:r w:rsidR="007F5FD3">
              <w:t>, Standards of Performance for Municipal Solid Waste Landfills That Commenced Construction, Reconstruction, or Modification After July 17, 2014</w:t>
            </w:r>
          </w:p>
        </w:tc>
        <w:tc>
          <w:tcPr>
            <w:tcW w:w="3060" w:type="dxa"/>
          </w:tcPr>
          <w:p w14:paraId="40749638" w14:textId="2ABD7F00" w:rsidR="004B41CD" w:rsidRPr="00EF1A9E" w:rsidRDefault="001B08E3" w:rsidP="00D66F5B">
            <w:r>
              <w:t>001</w:t>
            </w:r>
          </w:p>
        </w:tc>
      </w:tr>
      <w:tr w:rsidR="005268E3" w14:paraId="0610E4C7" w14:textId="77777777" w:rsidTr="001B08E3">
        <w:tc>
          <w:tcPr>
            <w:tcW w:w="6894" w:type="dxa"/>
            <w:tcBorders>
              <w:top w:val="single" w:sz="6" w:space="0" w:color="auto"/>
              <w:bottom w:val="single" w:sz="8" w:space="0" w:color="auto"/>
              <w:right w:val="single" w:sz="12" w:space="0" w:color="auto"/>
            </w:tcBorders>
          </w:tcPr>
          <w:p w14:paraId="20302C9D" w14:textId="59E2AE42" w:rsidR="005268E3" w:rsidRPr="005268E3" w:rsidRDefault="005268E3" w:rsidP="00D66F5B">
            <w:r>
              <w:t>40 CFR 61</w:t>
            </w:r>
            <w:r w:rsidR="007F5FD3">
              <w:t>,</w:t>
            </w:r>
            <w:r>
              <w:t xml:space="preserve"> </w:t>
            </w:r>
            <w:r w:rsidR="007F5FD3">
              <w:t>S</w:t>
            </w:r>
            <w:r>
              <w:t>ubpart A</w:t>
            </w:r>
            <w:r w:rsidR="00203522">
              <w:t>,</w:t>
            </w:r>
            <w:r>
              <w:t xml:space="preserve"> </w:t>
            </w:r>
            <w:r w:rsidR="007F5FD3">
              <w:t xml:space="preserve">NESHAP </w:t>
            </w:r>
            <w:r>
              <w:t>General Provisions</w:t>
            </w:r>
          </w:p>
        </w:tc>
        <w:tc>
          <w:tcPr>
            <w:tcW w:w="3060" w:type="dxa"/>
            <w:tcBorders>
              <w:top w:val="single" w:sz="6" w:space="0" w:color="auto"/>
              <w:left w:val="single" w:sz="12" w:space="0" w:color="auto"/>
              <w:bottom w:val="single" w:sz="4" w:space="0" w:color="auto"/>
            </w:tcBorders>
          </w:tcPr>
          <w:p w14:paraId="732C5049" w14:textId="47CAEA64" w:rsidR="005268E3" w:rsidRDefault="005268E3" w:rsidP="00D66F5B">
            <w:r>
              <w:t>001</w:t>
            </w:r>
          </w:p>
        </w:tc>
      </w:tr>
      <w:tr w:rsidR="005268E3" w14:paraId="0FE9BF5E" w14:textId="77777777" w:rsidTr="001B08E3">
        <w:tc>
          <w:tcPr>
            <w:tcW w:w="6894" w:type="dxa"/>
            <w:tcBorders>
              <w:top w:val="single" w:sz="6" w:space="0" w:color="auto"/>
              <w:bottom w:val="single" w:sz="8" w:space="0" w:color="auto"/>
              <w:right w:val="single" w:sz="12" w:space="0" w:color="auto"/>
            </w:tcBorders>
          </w:tcPr>
          <w:p w14:paraId="51255B44" w14:textId="6D1E3070" w:rsidR="005268E3" w:rsidRPr="005268E3" w:rsidRDefault="005268E3" w:rsidP="00D66F5B">
            <w:r>
              <w:t>40 CFR 6</w:t>
            </w:r>
            <w:r w:rsidR="00203522">
              <w:t>1, Subpart M,</w:t>
            </w:r>
            <w:r>
              <w:t xml:space="preserve"> </w:t>
            </w:r>
            <w:r w:rsidR="007F5FD3">
              <w:t>National Emission Standard for Asbestos</w:t>
            </w:r>
          </w:p>
        </w:tc>
        <w:tc>
          <w:tcPr>
            <w:tcW w:w="3060" w:type="dxa"/>
            <w:tcBorders>
              <w:top w:val="single" w:sz="6" w:space="0" w:color="auto"/>
              <w:left w:val="single" w:sz="12" w:space="0" w:color="auto"/>
              <w:bottom w:val="single" w:sz="4" w:space="0" w:color="auto"/>
            </w:tcBorders>
          </w:tcPr>
          <w:p w14:paraId="212B29A7" w14:textId="4E1F9742" w:rsidR="005268E3" w:rsidRDefault="005268E3" w:rsidP="00D66F5B">
            <w:r>
              <w:t>001</w:t>
            </w:r>
          </w:p>
        </w:tc>
      </w:tr>
      <w:tr w:rsidR="001124C7" w14:paraId="59E60DBB" w14:textId="77777777" w:rsidTr="001B08E3">
        <w:tc>
          <w:tcPr>
            <w:tcW w:w="6894" w:type="dxa"/>
            <w:tcBorders>
              <w:top w:val="single" w:sz="6" w:space="0" w:color="auto"/>
              <w:bottom w:val="single" w:sz="8" w:space="0" w:color="auto"/>
              <w:right w:val="single" w:sz="12" w:space="0" w:color="auto"/>
            </w:tcBorders>
          </w:tcPr>
          <w:p w14:paraId="59DA9D82" w14:textId="091CF613" w:rsidR="001124C7" w:rsidRDefault="001124C7" w:rsidP="00D66F5B">
            <w:r>
              <w:t>29 CFR 1910, Subpart J, General Environmental Controls</w:t>
            </w:r>
          </w:p>
        </w:tc>
        <w:tc>
          <w:tcPr>
            <w:tcW w:w="3060" w:type="dxa"/>
            <w:tcBorders>
              <w:top w:val="single" w:sz="6" w:space="0" w:color="auto"/>
              <w:left w:val="single" w:sz="12" w:space="0" w:color="auto"/>
              <w:bottom w:val="single" w:sz="4" w:space="0" w:color="auto"/>
            </w:tcBorders>
          </w:tcPr>
          <w:p w14:paraId="32D96AE1" w14:textId="6717C395" w:rsidR="001124C7" w:rsidRDefault="001124C7" w:rsidP="00D66F5B">
            <w:r>
              <w:t>001</w:t>
            </w:r>
          </w:p>
        </w:tc>
      </w:tr>
      <w:tr w:rsidR="00D521CD" w14:paraId="7B92F65C" w14:textId="77777777" w:rsidTr="005D3995">
        <w:trPr>
          <w:trHeight w:val="248"/>
        </w:trPr>
        <w:tc>
          <w:tcPr>
            <w:tcW w:w="9954" w:type="dxa"/>
            <w:gridSpan w:val="2"/>
            <w:tcBorders>
              <w:top w:val="single" w:sz="6" w:space="0" w:color="auto"/>
              <w:bottom w:val="single" w:sz="8" w:space="0" w:color="auto"/>
            </w:tcBorders>
          </w:tcPr>
          <w:p w14:paraId="31FABF8B" w14:textId="77777777" w:rsidR="00D521CD" w:rsidRPr="00EF1A9E" w:rsidRDefault="00D521CD" w:rsidP="00D521CD">
            <w:pPr>
              <w:jc w:val="center"/>
            </w:pPr>
            <w:r>
              <w:rPr>
                <w:i/>
              </w:rPr>
              <w:t>State</w:t>
            </w:r>
            <w:r w:rsidRPr="00115F13">
              <w:rPr>
                <w:i/>
              </w:rPr>
              <w:t xml:space="preserve"> Rule Citations</w:t>
            </w:r>
          </w:p>
        </w:tc>
      </w:tr>
      <w:tr w:rsidR="00115F13" w14:paraId="542EB906" w14:textId="77777777" w:rsidTr="005268E3">
        <w:trPr>
          <w:trHeight w:val="135"/>
        </w:trPr>
        <w:tc>
          <w:tcPr>
            <w:tcW w:w="6894" w:type="dxa"/>
            <w:tcBorders>
              <w:top w:val="single" w:sz="8" w:space="0" w:color="auto"/>
              <w:bottom w:val="single" w:sz="8" w:space="0" w:color="auto"/>
            </w:tcBorders>
          </w:tcPr>
          <w:p w14:paraId="50021078" w14:textId="086F383B" w:rsidR="00115F13" w:rsidRPr="004C4A19" w:rsidRDefault="005268E3" w:rsidP="00D66F5B">
            <w:r w:rsidRPr="004C4A19">
              <w:t>62-4, F.A.C.</w:t>
            </w:r>
            <w:r w:rsidR="00534EC7">
              <w:t>:</w:t>
            </w:r>
            <w:r w:rsidRPr="004C4A19">
              <w:t xml:space="preserve"> Permits </w:t>
            </w:r>
          </w:p>
        </w:tc>
        <w:tc>
          <w:tcPr>
            <w:tcW w:w="3060" w:type="dxa"/>
            <w:tcBorders>
              <w:top w:val="single" w:sz="4" w:space="0" w:color="auto"/>
              <w:bottom w:val="single" w:sz="4" w:space="0" w:color="auto"/>
            </w:tcBorders>
          </w:tcPr>
          <w:p w14:paraId="7A3EBEE8" w14:textId="5EF8EA77" w:rsidR="00115F13" w:rsidRPr="00AD797E" w:rsidRDefault="004C4A19" w:rsidP="00D66F5B">
            <w:r>
              <w:t>001</w:t>
            </w:r>
          </w:p>
        </w:tc>
      </w:tr>
      <w:tr w:rsidR="00534EC7" w14:paraId="01697A4D" w14:textId="77777777" w:rsidTr="005268E3">
        <w:trPr>
          <w:trHeight w:val="135"/>
        </w:trPr>
        <w:tc>
          <w:tcPr>
            <w:tcW w:w="6894" w:type="dxa"/>
            <w:tcBorders>
              <w:top w:val="single" w:sz="8" w:space="0" w:color="auto"/>
              <w:bottom w:val="single" w:sz="8" w:space="0" w:color="auto"/>
            </w:tcBorders>
          </w:tcPr>
          <w:p w14:paraId="25ADAD93" w14:textId="72539858" w:rsidR="00534EC7" w:rsidRPr="004C4A19" w:rsidRDefault="00534EC7" w:rsidP="00D66F5B">
            <w:r>
              <w:lastRenderedPageBreak/>
              <w:t>62-204, F.A.C.: Air Pollution Control – General Provisions</w:t>
            </w:r>
          </w:p>
        </w:tc>
        <w:tc>
          <w:tcPr>
            <w:tcW w:w="3060" w:type="dxa"/>
            <w:tcBorders>
              <w:top w:val="single" w:sz="4" w:space="0" w:color="auto"/>
              <w:bottom w:val="single" w:sz="4" w:space="0" w:color="auto"/>
            </w:tcBorders>
          </w:tcPr>
          <w:p w14:paraId="12E8A0B2" w14:textId="75411D73" w:rsidR="00534EC7" w:rsidRDefault="00534EC7" w:rsidP="00D66F5B">
            <w:r>
              <w:t>001</w:t>
            </w:r>
          </w:p>
        </w:tc>
      </w:tr>
      <w:tr w:rsidR="00115F13" w14:paraId="763F302D" w14:textId="77777777" w:rsidTr="001B08E3">
        <w:tc>
          <w:tcPr>
            <w:tcW w:w="6894" w:type="dxa"/>
            <w:tcBorders>
              <w:top w:val="single" w:sz="8" w:space="0" w:color="auto"/>
              <w:bottom w:val="single" w:sz="8" w:space="0" w:color="auto"/>
            </w:tcBorders>
          </w:tcPr>
          <w:p w14:paraId="59B41D5C" w14:textId="5BB5F57F" w:rsidR="00115F13" w:rsidRDefault="005268E3" w:rsidP="00D66F5B">
            <w:r>
              <w:t>62-210, F.A.C.</w:t>
            </w:r>
            <w:r w:rsidR="00534EC7">
              <w:t>:</w:t>
            </w:r>
            <w:r>
              <w:t xml:space="preserve"> </w:t>
            </w:r>
            <w:r w:rsidR="00534EC7">
              <w:t>Stationary Sources – General Requirements</w:t>
            </w:r>
            <w:r>
              <w:t xml:space="preserve"> </w:t>
            </w:r>
          </w:p>
        </w:tc>
        <w:tc>
          <w:tcPr>
            <w:tcW w:w="3060" w:type="dxa"/>
            <w:tcBorders>
              <w:top w:val="single" w:sz="4" w:space="0" w:color="auto"/>
              <w:bottom w:val="single" w:sz="4" w:space="0" w:color="auto"/>
            </w:tcBorders>
          </w:tcPr>
          <w:p w14:paraId="6DD74356" w14:textId="16311306" w:rsidR="00115F13" w:rsidRPr="00AD797E" w:rsidRDefault="004C4A19" w:rsidP="00D66F5B">
            <w:r>
              <w:t>001</w:t>
            </w:r>
          </w:p>
        </w:tc>
      </w:tr>
      <w:tr w:rsidR="00115F13" w14:paraId="27C137C7" w14:textId="77777777" w:rsidTr="004C4A19">
        <w:tc>
          <w:tcPr>
            <w:tcW w:w="6894" w:type="dxa"/>
            <w:tcBorders>
              <w:top w:val="single" w:sz="8" w:space="0" w:color="auto"/>
              <w:bottom w:val="single" w:sz="8" w:space="0" w:color="auto"/>
            </w:tcBorders>
          </w:tcPr>
          <w:p w14:paraId="71282AF3" w14:textId="26E1FB27" w:rsidR="00115F13" w:rsidRDefault="005268E3" w:rsidP="00D66F5B">
            <w:r>
              <w:t>62-210.300, F.A.C.</w:t>
            </w:r>
            <w:r w:rsidR="00534EC7">
              <w:t>:</w:t>
            </w:r>
            <w:r>
              <w:t xml:space="preserve"> Permits Required</w:t>
            </w:r>
          </w:p>
        </w:tc>
        <w:tc>
          <w:tcPr>
            <w:tcW w:w="3060" w:type="dxa"/>
            <w:tcBorders>
              <w:top w:val="single" w:sz="4" w:space="0" w:color="auto"/>
              <w:bottom w:val="single" w:sz="4" w:space="0" w:color="auto"/>
            </w:tcBorders>
          </w:tcPr>
          <w:p w14:paraId="2D04AF2E" w14:textId="60DDAB15" w:rsidR="00115F13" w:rsidRPr="00AD797E" w:rsidRDefault="004C4A19" w:rsidP="00D66F5B">
            <w:r>
              <w:t>001</w:t>
            </w:r>
          </w:p>
        </w:tc>
      </w:tr>
      <w:tr w:rsidR="00F110C7" w14:paraId="0C04C48F" w14:textId="77777777" w:rsidTr="004C4A19">
        <w:tc>
          <w:tcPr>
            <w:tcW w:w="6894" w:type="dxa"/>
            <w:tcBorders>
              <w:top w:val="single" w:sz="8" w:space="0" w:color="auto"/>
              <w:bottom w:val="single" w:sz="8" w:space="0" w:color="auto"/>
            </w:tcBorders>
          </w:tcPr>
          <w:p w14:paraId="2149A0AC" w14:textId="6237BEA2" w:rsidR="00F110C7" w:rsidRDefault="00F110C7" w:rsidP="00D66F5B">
            <w:r>
              <w:t>62-204.800, F.A.C.</w:t>
            </w:r>
            <w:r w:rsidR="00534EC7">
              <w:t>:</w:t>
            </w:r>
            <w:r>
              <w:t xml:space="preserve"> </w:t>
            </w:r>
            <w:r w:rsidR="0084402F">
              <w:t>Federal Regulations Adopted by Reference</w:t>
            </w:r>
          </w:p>
        </w:tc>
        <w:tc>
          <w:tcPr>
            <w:tcW w:w="3060" w:type="dxa"/>
            <w:tcBorders>
              <w:top w:val="single" w:sz="4" w:space="0" w:color="auto"/>
              <w:bottom w:val="single" w:sz="4" w:space="0" w:color="auto"/>
            </w:tcBorders>
          </w:tcPr>
          <w:p w14:paraId="20A599AA" w14:textId="566A40FF" w:rsidR="00F110C7" w:rsidRDefault="0084402F" w:rsidP="00D66F5B">
            <w:r>
              <w:t>001</w:t>
            </w:r>
          </w:p>
        </w:tc>
      </w:tr>
      <w:tr w:rsidR="00751201" w:rsidRPr="00AD797E" w14:paraId="4C381BD6" w14:textId="77777777" w:rsidTr="00534EC7">
        <w:trPr>
          <w:trHeight w:val="279"/>
        </w:trPr>
        <w:tc>
          <w:tcPr>
            <w:tcW w:w="6894" w:type="dxa"/>
            <w:tcBorders>
              <w:top w:val="single" w:sz="8" w:space="0" w:color="auto"/>
              <w:left w:val="single" w:sz="12" w:space="0" w:color="auto"/>
              <w:bottom w:val="single" w:sz="8" w:space="0" w:color="auto"/>
              <w:right w:val="single" w:sz="6" w:space="0" w:color="auto"/>
            </w:tcBorders>
          </w:tcPr>
          <w:p w14:paraId="7FD65BAE" w14:textId="6ECCE856" w:rsidR="00751201" w:rsidRDefault="00751201" w:rsidP="005D3995">
            <w:r>
              <w:t>62-213, F.A.C</w:t>
            </w:r>
            <w:r w:rsidR="00534EC7">
              <w:t>:</w:t>
            </w:r>
            <w:r>
              <w:t xml:space="preserve"> Operation Permits for Major Sources</w:t>
            </w:r>
          </w:p>
        </w:tc>
        <w:tc>
          <w:tcPr>
            <w:tcW w:w="3060" w:type="dxa"/>
            <w:tcBorders>
              <w:top w:val="single" w:sz="4" w:space="0" w:color="auto"/>
              <w:left w:val="single" w:sz="12" w:space="0" w:color="auto"/>
              <w:bottom w:val="single" w:sz="4" w:space="0" w:color="auto"/>
              <w:right w:val="single" w:sz="12" w:space="0" w:color="auto"/>
            </w:tcBorders>
          </w:tcPr>
          <w:p w14:paraId="5D882D20" w14:textId="77777777" w:rsidR="00751201" w:rsidRPr="00AD797E" w:rsidRDefault="00751201" w:rsidP="005D3995">
            <w:r>
              <w:t>001</w:t>
            </w:r>
          </w:p>
        </w:tc>
      </w:tr>
      <w:tr w:rsidR="00534EC7" w:rsidRPr="00AD797E" w14:paraId="01C37AFD" w14:textId="77777777" w:rsidTr="00534EC7">
        <w:trPr>
          <w:trHeight w:val="279"/>
        </w:trPr>
        <w:tc>
          <w:tcPr>
            <w:tcW w:w="6894" w:type="dxa"/>
            <w:tcBorders>
              <w:top w:val="single" w:sz="8" w:space="0" w:color="auto"/>
              <w:left w:val="single" w:sz="12" w:space="0" w:color="auto"/>
              <w:bottom w:val="single" w:sz="8" w:space="0" w:color="auto"/>
              <w:right w:val="single" w:sz="6" w:space="0" w:color="auto"/>
            </w:tcBorders>
          </w:tcPr>
          <w:p w14:paraId="62B9D344" w14:textId="30021795" w:rsidR="00534EC7" w:rsidRDefault="00534EC7" w:rsidP="005D3995">
            <w:r>
              <w:t>62-296, F.A.C.: Stationary Sources – Emissions Standards</w:t>
            </w:r>
          </w:p>
        </w:tc>
        <w:tc>
          <w:tcPr>
            <w:tcW w:w="3060" w:type="dxa"/>
            <w:tcBorders>
              <w:top w:val="single" w:sz="4" w:space="0" w:color="auto"/>
              <w:left w:val="single" w:sz="12" w:space="0" w:color="auto"/>
              <w:bottom w:val="single" w:sz="4" w:space="0" w:color="auto"/>
              <w:right w:val="single" w:sz="12" w:space="0" w:color="auto"/>
            </w:tcBorders>
          </w:tcPr>
          <w:p w14:paraId="0DEABF8F" w14:textId="7B2F5484" w:rsidR="00534EC7" w:rsidRDefault="00534EC7" w:rsidP="005D3995">
            <w:r>
              <w:t>001</w:t>
            </w:r>
          </w:p>
        </w:tc>
      </w:tr>
      <w:tr w:rsidR="00534EC7" w:rsidRPr="00AD797E" w14:paraId="38460F41" w14:textId="77777777" w:rsidTr="00534EC7">
        <w:trPr>
          <w:trHeight w:val="279"/>
        </w:trPr>
        <w:tc>
          <w:tcPr>
            <w:tcW w:w="6894" w:type="dxa"/>
            <w:tcBorders>
              <w:top w:val="single" w:sz="8" w:space="0" w:color="auto"/>
              <w:left w:val="single" w:sz="12" w:space="0" w:color="auto"/>
              <w:bottom w:val="single" w:sz="12" w:space="0" w:color="auto"/>
              <w:right w:val="single" w:sz="6" w:space="0" w:color="auto"/>
            </w:tcBorders>
          </w:tcPr>
          <w:p w14:paraId="3DDCEAFB" w14:textId="64D70347" w:rsidR="00534EC7" w:rsidRDefault="00534EC7" w:rsidP="005D3995">
            <w:r>
              <w:t>62-297, F.A.C.: Stationary Sources- Emissions Monitoring</w:t>
            </w:r>
          </w:p>
        </w:tc>
        <w:tc>
          <w:tcPr>
            <w:tcW w:w="3060" w:type="dxa"/>
            <w:tcBorders>
              <w:top w:val="single" w:sz="4" w:space="0" w:color="auto"/>
              <w:left w:val="single" w:sz="12" w:space="0" w:color="auto"/>
              <w:bottom w:val="single" w:sz="12" w:space="0" w:color="auto"/>
              <w:right w:val="single" w:sz="12" w:space="0" w:color="auto"/>
            </w:tcBorders>
          </w:tcPr>
          <w:p w14:paraId="5F2F6517" w14:textId="40C8152C" w:rsidR="00534EC7" w:rsidRDefault="00534EC7" w:rsidP="005D3995">
            <w:r>
              <w:t>001</w:t>
            </w:r>
          </w:p>
        </w:tc>
      </w:tr>
    </w:tbl>
    <w:p w14:paraId="5423FDA5" w14:textId="1B101460" w:rsidR="008F0061" w:rsidRDefault="008F0061" w:rsidP="00972F54">
      <w:pPr>
        <w:spacing w:before="120"/>
        <w:rPr>
          <w:i/>
        </w:rPr>
      </w:pPr>
      <w:r>
        <w:rPr>
          <w:i/>
        </w:rPr>
        <w:t>{Permitting Note:  This emissions unit is regulated by NESHAP 40 CFR 61.154, Standard for Active Waste Disposal Sites (Asbestos)</w:t>
      </w:r>
      <w:r w:rsidR="00F110C7">
        <w:rPr>
          <w:i/>
        </w:rPr>
        <w:t>, incorporated by reference in Rule 62-204.800(10)(b)8, F.A.C</w:t>
      </w:r>
      <w:r>
        <w:rPr>
          <w:i/>
        </w:rPr>
        <w:t>.  A Compliance Assurance Monitoring Plan is not required since the facility is subject to NSPS and NESHAP regulations.</w:t>
      </w:r>
      <w:r w:rsidR="00C03BA9">
        <w:rPr>
          <w:i/>
        </w:rPr>
        <w:t xml:space="preserve">  </w:t>
      </w:r>
      <w:r w:rsidR="00C03BA9">
        <w:rPr>
          <w:i/>
          <w:iCs/>
          <w:szCs w:val="22"/>
        </w:rPr>
        <w:t>NESHAP 40 CFR 63 Subpart AAAA (National Emission Standards for Hazardous Air Pollutants: Municipal Solid Waste Landfills) is not applicable to this facility at this time since estimated uncontrolled NMOC are less than 50 megagrams per year (40 CFR 63.1935(a)(3).</w:t>
      </w:r>
      <w:r>
        <w:rPr>
          <w:i/>
        </w:rPr>
        <w:t>}</w:t>
      </w:r>
    </w:p>
    <w:p w14:paraId="3EDC5D4E" w14:textId="77777777" w:rsidR="008F0061" w:rsidRDefault="008F0061" w:rsidP="00C01B12">
      <w:pPr>
        <w:rPr>
          <w:b/>
          <w:caps/>
          <w:szCs w:val="22"/>
        </w:rPr>
      </w:pPr>
    </w:p>
    <w:p w14:paraId="30676332" w14:textId="7D31A02D" w:rsidR="00C01B12" w:rsidRDefault="00221AA1" w:rsidP="00C01B12">
      <w:pPr>
        <w:rPr>
          <w:b/>
          <w:caps/>
          <w:szCs w:val="22"/>
        </w:rPr>
      </w:pPr>
      <w:hyperlink w:anchor="TableofContents" w:history="1">
        <w:r w:rsidR="00114B42" w:rsidRPr="00114B42">
          <w:rPr>
            <w:rStyle w:val="Hyperlink"/>
            <w:szCs w:val="22"/>
          </w:rPr>
          <w:t>Table of Contents</w:t>
        </w:r>
      </w:hyperlink>
    </w:p>
    <w:p w14:paraId="0955359B" w14:textId="77777777" w:rsidR="004531FB" w:rsidRDefault="004531FB" w:rsidP="00C01B12">
      <w:pPr>
        <w:rPr>
          <w:b/>
          <w:caps/>
          <w:szCs w:val="22"/>
        </w:rPr>
        <w:sectPr w:rsidR="004531FB" w:rsidSect="000A0A5C">
          <w:headerReference w:type="even" r:id="rId25"/>
          <w:headerReference w:type="default" r:id="rId26"/>
          <w:footerReference w:type="default" r:id="rId27"/>
          <w:headerReference w:type="first" r:id="rId28"/>
          <w:pgSz w:w="12240" w:h="15840" w:code="1"/>
          <w:pgMar w:top="1080" w:right="1080" w:bottom="1080" w:left="1080" w:header="720" w:footer="720" w:gutter="0"/>
          <w:paperSrc w:first="15" w:other="15"/>
          <w:pgNumType w:start="2"/>
          <w:cols w:space="720"/>
        </w:sectPr>
      </w:pPr>
    </w:p>
    <w:p w14:paraId="24F636E1" w14:textId="77777777" w:rsidR="00C01B12" w:rsidRPr="0051540D" w:rsidRDefault="00C01B12" w:rsidP="00C01B12">
      <w:pPr>
        <w:spacing w:before="120" w:after="120"/>
        <w:rPr>
          <w:b/>
        </w:rPr>
      </w:pPr>
      <w:bookmarkStart w:id="9" w:name="SectionII"/>
      <w:bookmarkEnd w:id="9"/>
      <w:r w:rsidRPr="00DB1B3A">
        <w:rPr>
          <w:b/>
        </w:rPr>
        <w:lastRenderedPageBreak/>
        <w:t>The following conditions apply facility-wide to all emission units and activities:</w:t>
      </w:r>
    </w:p>
    <w:p w14:paraId="14A418BA" w14:textId="2A12CA40" w:rsidR="00C01B12" w:rsidRPr="0051540D" w:rsidRDefault="004642C4" w:rsidP="004D17E2">
      <w:pPr>
        <w:numPr>
          <w:ilvl w:val="0"/>
          <w:numId w:val="1"/>
        </w:numPr>
        <w:tabs>
          <w:tab w:val="left" w:pos="360"/>
          <w:tab w:val="left" w:pos="720"/>
          <w:tab w:val="left" w:pos="1080"/>
          <w:tab w:val="left" w:pos="1440"/>
        </w:tabs>
        <w:suppressAutoHyphens/>
        <w:spacing w:after="12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1D2746" w:rsidRPr="001D2746">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765559E1" w14:textId="77777777" w:rsidR="00C01B12" w:rsidRPr="00D93E62" w:rsidRDefault="00C01B12" w:rsidP="006144AF">
      <w:pPr>
        <w:tabs>
          <w:tab w:val="left" w:pos="360"/>
          <w:tab w:val="left" w:pos="720"/>
          <w:tab w:val="left" w:pos="1080"/>
          <w:tab w:val="left" w:pos="1440"/>
        </w:tabs>
        <w:spacing w:after="120"/>
        <w:ind w:left="360" w:hanging="360"/>
        <w:rPr>
          <w:b/>
          <w:u w:val="single"/>
        </w:rPr>
      </w:pPr>
      <w:r w:rsidRPr="00D93E62">
        <w:rPr>
          <w:b/>
          <w:u w:val="single"/>
        </w:rPr>
        <w:t>Emissions and Controls</w:t>
      </w:r>
    </w:p>
    <w:p w14:paraId="4366036D" w14:textId="77777777" w:rsidR="00C01B12" w:rsidRDefault="000F3936" w:rsidP="004D17E2">
      <w:pPr>
        <w:numPr>
          <w:ilvl w:val="0"/>
          <w:numId w:val="1"/>
        </w:numPr>
        <w:tabs>
          <w:tab w:val="left" w:pos="360"/>
          <w:tab w:val="left" w:pos="720"/>
          <w:tab w:val="left" w:pos="1080"/>
          <w:tab w:val="left" w:pos="1440"/>
        </w:tabs>
        <w:suppressAutoHyphens/>
        <w:spacing w:after="12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14:paraId="3B9E3BA6" w14:textId="77777777" w:rsidR="00B53885" w:rsidRPr="005A6039" w:rsidRDefault="00B53885" w:rsidP="004D17E2">
      <w:pPr>
        <w:numPr>
          <w:ilvl w:val="0"/>
          <w:numId w:val="1"/>
        </w:numPr>
        <w:tabs>
          <w:tab w:val="left" w:pos="360"/>
          <w:tab w:val="left" w:pos="720"/>
          <w:tab w:val="left" w:pos="1080"/>
          <w:tab w:val="left" w:pos="1440"/>
        </w:tabs>
        <w:suppressAutoHyphens/>
        <w:ind w:left="360" w:hanging="360"/>
        <w:rPr>
          <w:szCs w:val="22"/>
        </w:rPr>
      </w:pPr>
      <w:r w:rsidRPr="005A6039">
        <w:rPr>
          <w:szCs w:val="22"/>
          <w:u w:val="single"/>
        </w:rPr>
        <w:t>Odor Remediation Plan</w:t>
      </w:r>
      <w:r w:rsidRPr="005A6039">
        <w:rPr>
          <w:szCs w:val="22"/>
        </w:rPr>
        <w:t>.  The facility shall be operated to control objectionable odors in accordance with subsection 62-296.320(2), F.A.C.  After being notified by the Department that objectionable odors have been confirmed beyond the landfill property boundary, the owner or operator shall:</w:t>
      </w:r>
    </w:p>
    <w:p w14:paraId="40631AFC" w14:textId="77777777" w:rsidR="00B53885" w:rsidRPr="005A6039" w:rsidRDefault="00B53885" w:rsidP="004D17E2">
      <w:pPr>
        <w:numPr>
          <w:ilvl w:val="0"/>
          <w:numId w:val="5"/>
        </w:numPr>
        <w:tabs>
          <w:tab w:val="left" w:pos="360"/>
          <w:tab w:val="left" w:pos="720"/>
          <w:tab w:val="left" w:pos="1440"/>
        </w:tabs>
        <w:suppressAutoHyphens/>
        <w:ind w:left="720"/>
        <w:rPr>
          <w:szCs w:val="22"/>
        </w:rPr>
      </w:pPr>
      <w:r w:rsidRPr="005A6039">
        <w:rPr>
          <w:szCs w:val="22"/>
        </w:rPr>
        <w:t>Immediately take steps to reduce the objectionable odors.  Such steps may include applying or increasing initial cover, reducing the size of the working face, and ceasing operations in the areas where odors have been detected;</w:t>
      </w:r>
    </w:p>
    <w:p w14:paraId="350EFA8F" w14:textId="77777777" w:rsidR="00B53885" w:rsidRPr="005A6039" w:rsidRDefault="00B53885" w:rsidP="004D17E2">
      <w:pPr>
        <w:numPr>
          <w:ilvl w:val="0"/>
          <w:numId w:val="5"/>
        </w:numPr>
        <w:tabs>
          <w:tab w:val="left" w:pos="360"/>
          <w:tab w:val="left" w:pos="720"/>
          <w:tab w:val="left" w:pos="1440"/>
        </w:tabs>
        <w:suppressAutoHyphens/>
        <w:ind w:left="720"/>
        <w:rPr>
          <w:szCs w:val="22"/>
        </w:rPr>
      </w:pPr>
      <w:r w:rsidRPr="005A6039">
        <w:rPr>
          <w:szCs w:val="22"/>
        </w:rPr>
        <w:t>Submit to the Department for approval an odor remediation plan for the gas releases.  The plan shall describe the nature and extent of the problem and the proposed long-term remedy.  The remedy shall be initiated within 30 days of approval.</w:t>
      </w:r>
    </w:p>
    <w:p w14:paraId="1AAEFE98" w14:textId="77777777" w:rsidR="00B53885" w:rsidRPr="005A6039" w:rsidRDefault="00B53885" w:rsidP="004D17E2">
      <w:pPr>
        <w:numPr>
          <w:ilvl w:val="0"/>
          <w:numId w:val="5"/>
        </w:numPr>
        <w:tabs>
          <w:tab w:val="left" w:pos="360"/>
          <w:tab w:val="left" w:pos="720"/>
          <w:tab w:val="left" w:pos="1440"/>
        </w:tabs>
        <w:suppressAutoHyphens/>
        <w:ind w:left="720"/>
        <w:rPr>
          <w:szCs w:val="22"/>
        </w:rPr>
      </w:pPr>
      <w:r w:rsidRPr="005A6039">
        <w:rPr>
          <w:szCs w:val="22"/>
        </w:rPr>
        <w:t>Implement a routine odor monitoring program to determine the timing and extent of any off-site odors, and to evaluate the effectiveness of the odor remediation plan.</w:t>
      </w:r>
    </w:p>
    <w:p w14:paraId="4669BB00" w14:textId="77777777" w:rsidR="00B53885" w:rsidRPr="00C5633E" w:rsidRDefault="00B53885" w:rsidP="00B53885">
      <w:pPr>
        <w:tabs>
          <w:tab w:val="left" w:pos="720"/>
          <w:tab w:val="left" w:pos="1080"/>
          <w:tab w:val="left" w:pos="1440"/>
        </w:tabs>
        <w:suppressAutoHyphens/>
        <w:spacing w:after="100"/>
        <w:ind w:left="360"/>
        <w:rPr>
          <w:szCs w:val="22"/>
        </w:rPr>
      </w:pPr>
      <w:r w:rsidRPr="005A6039">
        <w:rPr>
          <w:szCs w:val="22"/>
        </w:rPr>
        <w:t>[Rule 62-701.530(3)(b), F.A.C.]</w:t>
      </w:r>
    </w:p>
    <w:p w14:paraId="134D3D44" w14:textId="69D4283C" w:rsidR="00C03BA9" w:rsidRDefault="00FB633D" w:rsidP="004D17E2">
      <w:pPr>
        <w:numPr>
          <w:ilvl w:val="0"/>
          <w:numId w:val="1"/>
        </w:numPr>
        <w:tabs>
          <w:tab w:val="left" w:pos="360"/>
          <w:tab w:val="left" w:pos="720"/>
          <w:tab w:val="left" w:pos="1080"/>
          <w:tab w:val="left" w:pos="1440"/>
        </w:tabs>
        <w:suppressAutoHyphens/>
        <w:spacing w:before="12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r w:rsidR="00C03BA9">
        <w:rPr>
          <w:szCs w:val="22"/>
        </w:rPr>
        <w:t xml:space="preserve">  </w:t>
      </w:r>
    </w:p>
    <w:p w14:paraId="68AC243F" w14:textId="0F8F9B80" w:rsidR="00C03BA9" w:rsidRPr="00C03BA9" w:rsidRDefault="00C03BA9" w:rsidP="005D3995">
      <w:pPr>
        <w:tabs>
          <w:tab w:val="left" w:pos="360"/>
          <w:tab w:val="left" w:pos="720"/>
          <w:tab w:val="left" w:pos="1080"/>
          <w:tab w:val="left" w:pos="1440"/>
        </w:tabs>
        <w:suppressAutoHyphens/>
        <w:ind w:left="360"/>
        <w:rPr>
          <w:szCs w:val="22"/>
        </w:rPr>
      </w:pPr>
      <w:r>
        <w:rPr>
          <w:i/>
          <w:szCs w:val="22"/>
        </w:rPr>
        <w:t>{Permitting Note: Nothing is deemed necessary and ordered at this time.}</w:t>
      </w:r>
    </w:p>
    <w:p w14:paraId="04D73FAC" w14:textId="77777777" w:rsidR="00C01B12" w:rsidRDefault="00C01B12" w:rsidP="004D17E2">
      <w:pPr>
        <w:numPr>
          <w:ilvl w:val="0"/>
          <w:numId w:val="1"/>
        </w:numPr>
        <w:tabs>
          <w:tab w:val="left" w:pos="360"/>
          <w:tab w:val="left" w:pos="720"/>
          <w:tab w:val="left" w:pos="1080"/>
          <w:tab w:val="left" w:pos="1440"/>
        </w:tabs>
        <w:suppressAutoHyphens/>
        <w:spacing w:before="12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14:paraId="50B24DF9" w14:textId="77777777" w:rsidR="007E6793" w:rsidRDefault="007E6793" w:rsidP="004D17E2">
      <w:pPr>
        <w:numPr>
          <w:ilvl w:val="0"/>
          <w:numId w:val="1"/>
        </w:numPr>
        <w:tabs>
          <w:tab w:val="left" w:pos="360"/>
          <w:tab w:val="left" w:pos="720"/>
          <w:tab w:val="left" w:pos="1080"/>
          <w:tab w:val="left" w:pos="1440"/>
        </w:tabs>
        <w:suppressAutoHyphens/>
        <w:spacing w:before="120"/>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636634E7" w14:textId="41C35A42" w:rsidR="00E87E61" w:rsidRPr="005D3995" w:rsidRDefault="00E87E61" w:rsidP="007C1680">
      <w:pPr>
        <w:tabs>
          <w:tab w:val="left" w:pos="360"/>
          <w:tab w:val="left" w:pos="720"/>
          <w:tab w:val="left" w:pos="1080"/>
          <w:tab w:val="left" w:pos="1440"/>
        </w:tabs>
        <w:ind w:left="720" w:hanging="360"/>
      </w:pPr>
      <w:r w:rsidRPr="005D3995">
        <w:t>a.</w:t>
      </w:r>
      <w:r w:rsidRPr="005D3995">
        <w:tab/>
      </w:r>
      <w:r w:rsidR="00B70D27" w:rsidRPr="005D3995">
        <w:t>Posting and enforcing the speed limits on all roads inside the landfill.</w:t>
      </w:r>
    </w:p>
    <w:p w14:paraId="63086DE3" w14:textId="7E6A6266" w:rsidR="00E87E61" w:rsidRPr="005D3995" w:rsidRDefault="00E87E61" w:rsidP="007C1680">
      <w:pPr>
        <w:tabs>
          <w:tab w:val="left" w:pos="360"/>
          <w:tab w:val="left" w:pos="720"/>
          <w:tab w:val="left" w:pos="1080"/>
          <w:tab w:val="left" w:pos="1440"/>
        </w:tabs>
        <w:ind w:left="720" w:hanging="360"/>
      </w:pPr>
      <w:r w:rsidRPr="005D3995">
        <w:t>b.</w:t>
      </w:r>
      <w:r w:rsidRPr="005D3995">
        <w:tab/>
      </w:r>
      <w:r w:rsidR="00B70D27">
        <w:t>Use of a water truck to wet the unpaved roads</w:t>
      </w:r>
      <w:r w:rsidR="002B1F33" w:rsidRPr="005D3995">
        <w:t>.</w:t>
      </w:r>
      <w:r w:rsidR="00B70D27">
        <w:t xml:space="preserve">  Frequency of watering varies with prevailing weather conditions.</w:t>
      </w:r>
    </w:p>
    <w:p w14:paraId="245DDD61" w14:textId="16EF4B8B" w:rsidR="00227376" w:rsidRPr="001124C7" w:rsidRDefault="007E6793" w:rsidP="001124C7">
      <w:pPr>
        <w:tabs>
          <w:tab w:val="left" w:pos="360"/>
          <w:tab w:val="left" w:pos="720"/>
          <w:tab w:val="left" w:pos="1080"/>
          <w:tab w:val="left" w:pos="1440"/>
        </w:tabs>
        <w:spacing w:after="120"/>
        <w:ind w:left="360" w:hanging="360"/>
      </w:pPr>
      <w:r w:rsidRPr="000A0495">
        <w:tab/>
      </w:r>
      <w:r w:rsidR="00E87E61" w:rsidRPr="000A0495">
        <w:t xml:space="preserve">[Rule 62-296.320(4)(c), F.A.C.; and, proposed by applicant in Title V air operation permit renewal application received </w:t>
      </w:r>
      <w:r w:rsidR="005746AB" w:rsidRPr="005D3995">
        <w:t>December 8</w:t>
      </w:r>
      <w:r w:rsidR="00C0325C" w:rsidRPr="005D3995">
        <w:t xml:space="preserve">, </w:t>
      </w:r>
      <w:r w:rsidR="005746AB" w:rsidRPr="005D3995">
        <w:t>2016</w:t>
      </w:r>
      <w:r w:rsidR="00E87E61" w:rsidRPr="005D3995">
        <w:t>.</w:t>
      </w:r>
      <w:r w:rsidR="00E87E61" w:rsidRPr="00751201">
        <w:t>]</w:t>
      </w:r>
    </w:p>
    <w:p w14:paraId="40029EF7" w14:textId="12A6FB41" w:rsidR="003D1146" w:rsidRDefault="00C01B12" w:rsidP="001124C7">
      <w:pPr>
        <w:tabs>
          <w:tab w:val="left" w:pos="360"/>
          <w:tab w:val="left" w:pos="720"/>
          <w:tab w:val="left" w:pos="1080"/>
          <w:tab w:val="left" w:pos="1440"/>
        </w:tabs>
        <w:ind w:left="360" w:hanging="360"/>
      </w:pPr>
      <w:r>
        <w:rPr>
          <w:b/>
          <w:u w:val="single"/>
        </w:rPr>
        <w:t>Reports and Fees</w:t>
      </w:r>
    </w:p>
    <w:p w14:paraId="3F994392" w14:textId="77777777" w:rsidR="00C01B12" w:rsidRPr="00D93E62" w:rsidRDefault="002E7F87" w:rsidP="006144AF">
      <w:pPr>
        <w:tabs>
          <w:tab w:val="left" w:pos="360"/>
          <w:tab w:val="left" w:pos="720"/>
          <w:tab w:val="left" w:pos="1080"/>
          <w:tab w:val="left" w:pos="1440"/>
        </w:tabs>
        <w:spacing w:before="120"/>
        <w:ind w:left="360" w:hanging="360"/>
        <w:rPr>
          <w:b/>
          <w:u w:val="single"/>
        </w:rPr>
      </w:pPr>
      <w:r w:rsidRPr="003D1146">
        <w:t>See Appendix RR</w:t>
      </w:r>
      <w:r w:rsidR="003D1146" w:rsidRPr="003D1146">
        <w:t xml:space="preserve">, Facility-wide Reporting </w:t>
      </w:r>
      <w:r w:rsidR="004642C4" w:rsidRPr="003D1146">
        <w:t>Requirements</w:t>
      </w:r>
      <w:r w:rsidR="00240650">
        <w:t>,</w:t>
      </w:r>
      <w:r w:rsidR="003D1146">
        <w:t xml:space="preserve"> for additional details</w:t>
      </w:r>
      <w:r w:rsidR="00240650">
        <w:t xml:space="preserve"> and requirements</w:t>
      </w:r>
      <w:r w:rsidR="003D1146">
        <w:t>.</w:t>
      </w:r>
    </w:p>
    <w:p w14:paraId="75C209B5" w14:textId="77777777" w:rsidR="00C01B12" w:rsidRDefault="00BF788C" w:rsidP="004D17E2">
      <w:pPr>
        <w:numPr>
          <w:ilvl w:val="0"/>
          <w:numId w:val="1"/>
        </w:numPr>
        <w:tabs>
          <w:tab w:val="left" w:pos="360"/>
          <w:tab w:val="left" w:pos="720"/>
          <w:tab w:val="left" w:pos="1080"/>
          <w:tab w:val="left" w:pos="1440"/>
        </w:tabs>
        <w:suppressAutoHyphens/>
        <w:spacing w:before="120"/>
        <w:ind w:left="360" w:hanging="360"/>
        <w:rPr>
          <w:szCs w:val="22"/>
        </w:rPr>
      </w:pPr>
      <w:r w:rsidRPr="00BF788C">
        <w:rPr>
          <w:bCs/>
          <w:szCs w:val="22"/>
          <w:u w:val="single"/>
        </w:rPr>
        <w:lastRenderedPageBreak/>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9"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2FFB6482" w14:textId="77777777" w:rsidR="00BF788C" w:rsidRPr="00BF788C" w:rsidRDefault="00BF788C" w:rsidP="006144AF">
      <w:pPr>
        <w:tabs>
          <w:tab w:val="left" w:pos="360"/>
          <w:tab w:val="left" w:pos="720"/>
          <w:tab w:val="left" w:pos="1080"/>
          <w:tab w:val="left" w:pos="1440"/>
        </w:tabs>
        <w:suppressAutoHyphens/>
        <w:spacing w:before="12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30"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31" w:history="1">
        <w:r w:rsidRPr="00BF788C">
          <w:rPr>
            <w:rStyle w:val="Hyperlink"/>
            <w:bCs/>
            <w:i/>
            <w:iCs/>
            <w:szCs w:val="22"/>
          </w:rPr>
          <w:t>eaor@dep.state.fl.us</w:t>
        </w:r>
      </w:hyperlink>
      <w:r w:rsidRPr="00BF788C">
        <w:rPr>
          <w:bCs/>
          <w:i/>
          <w:iCs/>
          <w:szCs w:val="22"/>
        </w:rPr>
        <w:t>.}</w:t>
      </w:r>
    </w:p>
    <w:p w14:paraId="5A4B9D86" w14:textId="77777777" w:rsidR="00BF788C" w:rsidRPr="00BF788C" w:rsidRDefault="00BF788C" w:rsidP="006144AF">
      <w:pPr>
        <w:tabs>
          <w:tab w:val="left" w:pos="360"/>
          <w:tab w:val="left" w:pos="720"/>
          <w:tab w:val="left" w:pos="1080"/>
          <w:tab w:val="left" w:pos="1440"/>
        </w:tabs>
        <w:suppressAutoHyphens/>
        <w:spacing w:before="120"/>
        <w:ind w:left="360"/>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21E716C4" w14:textId="77777777" w:rsidR="002405F4" w:rsidRPr="003F3CD7" w:rsidRDefault="00085EC1" w:rsidP="004D17E2">
      <w:pPr>
        <w:numPr>
          <w:ilvl w:val="0"/>
          <w:numId w:val="1"/>
        </w:numPr>
        <w:tabs>
          <w:tab w:val="left" w:pos="360"/>
          <w:tab w:val="left" w:pos="720"/>
          <w:tab w:val="left" w:pos="1080"/>
          <w:tab w:val="left" w:pos="1440"/>
        </w:tabs>
        <w:suppressAutoHyphens/>
        <w:spacing w:before="12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822CC8">
        <w:rPr>
          <w:szCs w:val="22"/>
        </w:rPr>
        <w:t>and to the US.</w:t>
      </w:r>
      <w:r w:rsidR="003F3CD7">
        <w:rPr>
          <w:szCs w:val="22"/>
        </w:rPr>
        <w:t xml:space="preserve"> </w:t>
      </w:r>
      <w:r w:rsidR="00822CC8">
        <w:rPr>
          <w:szCs w:val="22"/>
        </w:rPr>
        <w:t>EPA</w:t>
      </w:r>
      <w:r w:rsidR="003F3CD7">
        <w:rPr>
          <w:szCs w:val="22"/>
        </w:rPr>
        <w:t xml:space="preserve"> at the address shown below</w:t>
      </w:r>
      <w:r w:rsidR="00822CC8">
        <w:rPr>
          <w:szCs w:val="22"/>
        </w:rPr>
        <w:t xml:space="preserve"> </w:t>
      </w:r>
      <w:r w:rsidR="002E7F87" w:rsidRPr="0078478E">
        <w:rPr>
          <w:szCs w:val="16"/>
        </w:rPr>
        <w:t xml:space="preserve">within 60 days after the end of each calendar year during which the Title V </w:t>
      </w:r>
      <w:r w:rsidR="003F3CD7">
        <w:rPr>
          <w:szCs w:val="16"/>
        </w:rPr>
        <w:t xml:space="preserve">air operation </w:t>
      </w:r>
      <w:r w:rsidR="002E7F87" w:rsidRPr="0078478E">
        <w:rPr>
          <w:szCs w:val="16"/>
        </w:rPr>
        <w:t>permit was effective</w:t>
      </w:r>
      <w:r w:rsidR="002E7F87">
        <w:rPr>
          <w:szCs w:val="16"/>
        </w:rPr>
        <w:t>.</w:t>
      </w:r>
      <w:r w:rsidR="0044253A">
        <w:rPr>
          <w:szCs w:val="16"/>
        </w:rPr>
        <w:t xml:space="preserve">  (See also Appendix RR, Conditions RR1 and RR7.)</w:t>
      </w:r>
      <w:r w:rsidR="002E7F87">
        <w:t xml:space="preserve">  </w:t>
      </w:r>
      <w:r w:rsidR="002E7F87" w:rsidRPr="0078478E">
        <w:t>[Rules 62-213.440(3)(a)2. &amp; 3. and (b), F.A.C.]</w:t>
      </w:r>
    </w:p>
    <w:p w14:paraId="3961250F" w14:textId="77777777" w:rsidR="003F3CD7" w:rsidRDefault="003F3CD7" w:rsidP="003F3CD7">
      <w:pPr>
        <w:tabs>
          <w:tab w:val="left" w:pos="360"/>
          <w:tab w:val="left" w:pos="720"/>
          <w:tab w:val="left" w:pos="1080"/>
          <w:tab w:val="left" w:pos="1440"/>
        </w:tabs>
        <w:suppressAutoHyphens/>
        <w:jc w:val="center"/>
        <w:rPr>
          <w:szCs w:val="22"/>
        </w:rPr>
      </w:pPr>
      <w:r>
        <w:rPr>
          <w:szCs w:val="22"/>
        </w:rPr>
        <w:t>U.S. Environmental Protection Agency, Region 4</w:t>
      </w:r>
    </w:p>
    <w:p w14:paraId="5ED791B4" w14:textId="77777777" w:rsidR="003F3CD7" w:rsidRDefault="003F3CD7" w:rsidP="003F3CD7">
      <w:pPr>
        <w:tabs>
          <w:tab w:val="left" w:pos="360"/>
          <w:tab w:val="left" w:pos="720"/>
          <w:tab w:val="left" w:pos="1080"/>
          <w:tab w:val="left" w:pos="1440"/>
        </w:tabs>
        <w:suppressAutoHyphens/>
        <w:jc w:val="center"/>
        <w:rPr>
          <w:szCs w:val="22"/>
        </w:rPr>
      </w:pPr>
      <w:r>
        <w:rPr>
          <w:szCs w:val="22"/>
        </w:rPr>
        <w:t>Atlanta Federal Center</w:t>
      </w:r>
    </w:p>
    <w:p w14:paraId="0EFD9DC1" w14:textId="77777777" w:rsidR="003F3CD7" w:rsidRDefault="003F3CD7" w:rsidP="003F3CD7">
      <w:pPr>
        <w:tabs>
          <w:tab w:val="left" w:pos="360"/>
          <w:tab w:val="left" w:pos="720"/>
          <w:tab w:val="left" w:pos="1080"/>
          <w:tab w:val="left" w:pos="1440"/>
        </w:tabs>
        <w:suppressAutoHyphens/>
        <w:jc w:val="center"/>
        <w:rPr>
          <w:szCs w:val="22"/>
        </w:rPr>
      </w:pPr>
      <w:r>
        <w:rPr>
          <w:szCs w:val="22"/>
        </w:rPr>
        <w:t>61 Forsyth Street, SW</w:t>
      </w:r>
    </w:p>
    <w:p w14:paraId="3299B627" w14:textId="77777777" w:rsidR="003F3CD7" w:rsidRDefault="003F3CD7" w:rsidP="003F3CD7">
      <w:pPr>
        <w:tabs>
          <w:tab w:val="left" w:pos="360"/>
          <w:tab w:val="left" w:pos="720"/>
          <w:tab w:val="left" w:pos="1080"/>
          <w:tab w:val="left" w:pos="1440"/>
        </w:tabs>
        <w:suppressAutoHyphens/>
        <w:jc w:val="center"/>
        <w:rPr>
          <w:szCs w:val="22"/>
        </w:rPr>
      </w:pPr>
      <w:r>
        <w:rPr>
          <w:szCs w:val="22"/>
        </w:rPr>
        <w:t>Atlanta, Georgia  30303</w:t>
      </w:r>
    </w:p>
    <w:p w14:paraId="4DEDC31E" w14:textId="77777777" w:rsidR="003F3CD7" w:rsidRPr="00B47D51" w:rsidRDefault="003F3CD7" w:rsidP="006144AF">
      <w:pPr>
        <w:tabs>
          <w:tab w:val="left" w:pos="360"/>
          <w:tab w:val="left" w:pos="720"/>
          <w:tab w:val="left" w:pos="1080"/>
          <w:tab w:val="left" w:pos="1440"/>
        </w:tabs>
        <w:suppressAutoHyphens/>
        <w:jc w:val="center"/>
        <w:rPr>
          <w:szCs w:val="22"/>
        </w:rPr>
      </w:pPr>
      <w:r>
        <w:rPr>
          <w:szCs w:val="22"/>
        </w:rPr>
        <w:t>Attn:  Air Enforcement Branch</w:t>
      </w:r>
    </w:p>
    <w:p w14:paraId="0177C152" w14:textId="77777777" w:rsidR="00B47D51" w:rsidRPr="005D3995" w:rsidRDefault="00B47D51" w:rsidP="006144AF">
      <w:pPr>
        <w:tabs>
          <w:tab w:val="left" w:pos="360"/>
          <w:tab w:val="left" w:pos="720"/>
          <w:tab w:val="left" w:pos="1080"/>
          <w:tab w:val="left" w:pos="1440"/>
        </w:tabs>
        <w:spacing w:before="120"/>
        <w:ind w:left="360" w:hanging="360"/>
      </w:pPr>
      <w:r w:rsidRPr="005D3995">
        <w:rPr>
          <w:b/>
        </w:rPr>
        <w:t>FW</w:t>
      </w:r>
      <w:r w:rsidR="008B0413" w:rsidRPr="005D3995">
        <w:rPr>
          <w:b/>
        </w:rPr>
        <w:t>9</w:t>
      </w:r>
      <w:r w:rsidRPr="005D3995">
        <w:rPr>
          <w:b/>
        </w:rPr>
        <w:t>.</w:t>
      </w:r>
      <w:r w:rsidRPr="005D3995">
        <w:tab/>
      </w:r>
      <w:r w:rsidRPr="005D3995">
        <w:rPr>
          <w:u w:val="single"/>
        </w:rPr>
        <w:t>Prevention of Accidental Releases (Section 112(r) of CAA)</w:t>
      </w:r>
      <w:r w:rsidRPr="005D3995">
        <w:t>.</w:t>
      </w:r>
      <w:r w:rsidR="00525DF1" w:rsidRPr="005D3995">
        <w:t xml:space="preserve">  If, and when, the facility becomes subject to 112(r), the permittee shall:</w:t>
      </w:r>
    </w:p>
    <w:p w14:paraId="6A4024AD" w14:textId="77777777" w:rsidR="00B47D51" w:rsidRPr="005D3995" w:rsidRDefault="00B47D51" w:rsidP="007C1680">
      <w:pPr>
        <w:tabs>
          <w:tab w:val="left" w:pos="360"/>
          <w:tab w:val="left" w:pos="720"/>
          <w:tab w:val="left" w:pos="1080"/>
          <w:tab w:val="left" w:pos="1440"/>
        </w:tabs>
        <w:ind w:left="720" w:hanging="720"/>
      </w:pPr>
      <w:r w:rsidRPr="005D3995">
        <w:tab/>
        <w:t>a.</w:t>
      </w:r>
      <w:r w:rsidRPr="005D3995">
        <w:tab/>
      </w:r>
      <w:r w:rsidR="00525DF1" w:rsidRPr="005D3995">
        <w:t>S</w:t>
      </w:r>
      <w:r w:rsidRPr="005D3995">
        <w:t xml:space="preserve">ubmit its Risk Management Plan (RMP) to the Chemical Emergency Preparedness and Prevention Office (CEPPO) RMP Reporting Center.  Any Risk Management Plans, original submittals, revisions or updates to submittals, </w:t>
      </w:r>
      <w:r w:rsidR="00E84547" w:rsidRPr="005D3995">
        <w:rPr>
          <w:bCs/>
        </w:rPr>
        <w:t xml:space="preserve">should be sent electronically through EPA’s Central Data Exchange system at the following address:  </w:t>
      </w:r>
      <w:hyperlink r:id="rId32" w:history="1">
        <w:r w:rsidR="00E84547" w:rsidRPr="005D3995">
          <w:rPr>
            <w:rStyle w:val="Hyperlink"/>
            <w:bCs/>
          </w:rPr>
          <w:t>https://cdx.epa.gov</w:t>
        </w:r>
      </w:hyperlink>
      <w:r w:rsidR="00E84547" w:rsidRPr="005D3995">
        <w:rPr>
          <w:bCs/>
        </w:rPr>
        <w:t xml:space="preserve">.  Information on electronically submitting risk management plans using the Central Data Exchange system is available at:  </w:t>
      </w:r>
      <w:hyperlink r:id="rId33" w:history="1">
        <w:r w:rsidR="00DC377B" w:rsidRPr="005D3995">
          <w:rPr>
            <w:rStyle w:val="Hyperlink"/>
          </w:rPr>
          <w:t>http://www2.epa.gov/rmp</w:t>
        </w:r>
      </w:hyperlink>
      <w:r w:rsidR="00E84547" w:rsidRPr="005D3995">
        <w:rPr>
          <w:bCs/>
        </w:rPr>
        <w:t xml:space="preserve">.  The RMP Reporting Center can be contacted at:  </w:t>
      </w:r>
      <w:r w:rsidR="00E84547" w:rsidRPr="005D3995">
        <w:t>RMP Reporting Center, Post Office Box 10162, Fairfax, VA  22038, Telephone:  (703) 227-7650.</w:t>
      </w:r>
    </w:p>
    <w:p w14:paraId="39CC0267" w14:textId="77777777" w:rsidR="00B47D51" w:rsidRPr="005D3995" w:rsidRDefault="00B47D51" w:rsidP="007C1680">
      <w:pPr>
        <w:tabs>
          <w:tab w:val="left" w:pos="360"/>
          <w:tab w:val="left" w:pos="720"/>
          <w:tab w:val="left" w:pos="1080"/>
          <w:tab w:val="left" w:pos="1440"/>
        </w:tabs>
        <w:ind w:left="720" w:hanging="720"/>
      </w:pPr>
      <w:r w:rsidRPr="005D3995">
        <w:lastRenderedPageBreak/>
        <w:tab/>
        <w:t>b.</w:t>
      </w:r>
      <w:r w:rsidRPr="005D3995">
        <w:tab/>
      </w:r>
      <w:r w:rsidR="00525DF1" w:rsidRPr="005D3995">
        <w:t>S</w:t>
      </w:r>
      <w:r w:rsidRPr="005D3995">
        <w:t>ubmit to the permitting authority Title V certification forms or a compliance schedule in accordance with Rule 62-213.440(2), F.A.C.</w:t>
      </w:r>
    </w:p>
    <w:p w14:paraId="6284EA87" w14:textId="77777777" w:rsidR="00AC436A" w:rsidRDefault="00B47D51" w:rsidP="007C1680">
      <w:pPr>
        <w:widowControl w:val="0"/>
        <w:tabs>
          <w:tab w:val="left" w:pos="360"/>
          <w:tab w:val="left" w:pos="720"/>
          <w:tab w:val="left" w:pos="1080"/>
          <w:tab w:val="left" w:pos="1440"/>
        </w:tabs>
        <w:spacing w:after="120"/>
        <w:ind w:left="1080" w:hanging="720"/>
      </w:pPr>
      <w:r w:rsidRPr="005D3995">
        <w:t>[40 CFR 68]</w:t>
      </w:r>
    </w:p>
    <w:p w14:paraId="20263754" w14:textId="77777777" w:rsidR="00E5424B" w:rsidRPr="001D2746" w:rsidRDefault="008B0413" w:rsidP="004D17E2">
      <w:pPr>
        <w:numPr>
          <w:ilvl w:val="0"/>
          <w:numId w:val="1"/>
        </w:numPr>
        <w:tabs>
          <w:tab w:val="left" w:pos="360"/>
          <w:tab w:val="left" w:pos="720"/>
          <w:tab w:val="left" w:pos="1080"/>
          <w:tab w:val="left" w:pos="1440"/>
        </w:tabs>
        <w:spacing w:before="120"/>
        <w:ind w:left="360" w:hanging="360"/>
        <w:rPr>
          <w:szCs w:val="22"/>
        </w:rPr>
      </w:pPr>
      <w:r w:rsidRPr="001D2746">
        <w:rPr>
          <w:szCs w:val="22"/>
          <w:u w:val="single"/>
        </w:rPr>
        <w:t xml:space="preserve">Semi-Annual </w:t>
      </w:r>
      <w:r w:rsidR="007D1C4B" w:rsidRPr="001D2746">
        <w:rPr>
          <w:szCs w:val="22"/>
          <w:u w:val="single"/>
        </w:rPr>
        <w:t xml:space="preserve">Monitoring </w:t>
      </w:r>
      <w:r w:rsidRPr="001D2746">
        <w:rPr>
          <w:szCs w:val="22"/>
          <w:u w:val="single"/>
        </w:rPr>
        <w:t>Reports</w:t>
      </w:r>
      <w:r w:rsidRPr="001D2746">
        <w:rPr>
          <w:szCs w:val="22"/>
        </w:rPr>
        <w:t xml:space="preserve">.  </w:t>
      </w:r>
      <w:r w:rsidR="00E5424B" w:rsidRPr="001D2746">
        <w:t xml:space="preserve">The permittee shall monitor compliance with </w:t>
      </w:r>
      <w:r w:rsidR="00F1075B" w:rsidRPr="001D2746">
        <w:t xml:space="preserve">the terms and conditions of this permit and shall </w:t>
      </w:r>
      <w:r w:rsidR="00E5424B" w:rsidRPr="001D2746">
        <w:t xml:space="preserve">submit reports of any </w:t>
      </w:r>
      <w:r w:rsidR="00F1075B" w:rsidRPr="001D2746">
        <w:t>deviations from the requirements of these conditions</w:t>
      </w:r>
      <w:r w:rsidR="00E5424B" w:rsidRPr="001D2746">
        <w:t xml:space="preserve"> at least every six (6) months.  All instances of deviations from permit requirements must be clearly identified in such reports</w:t>
      </w:r>
      <w:r w:rsidR="00F1075B" w:rsidRPr="001D2746">
        <w:t xml:space="preserve">, including reference to the specific requirement and the duration of such deviation.  </w:t>
      </w:r>
      <w:r w:rsidR="007C5993" w:rsidRPr="001D2746">
        <w:t>All reports shall be accompanied by a certification by a responsible official, pursuant to subsection 62-213.420(4), F.A.C.</w:t>
      </w:r>
      <w:r w:rsidR="00E5424B" w:rsidRPr="001D2746">
        <w:t xml:space="preserve">  </w:t>
      </w:r>
      <w:r w:rsidR="00EC68D6" w:rsidRPr="001D2746">
        <w:t>(See also Conditions RR2. – RR4. of Appendix RR, Facility-wide Reporting Requirements</w:t>
      </w:r>
      <w:r w:rsidR="007D1C4B" w:rsidRPr="001D2746">
        <w:t>,</w:t>
      </w:r>
      <w:r w:rsidR="00EC68D6" w:rsidRPr="001D2746">
        <w:t xml:space="preserve"> for additional reporting requirements related to deviations.)  </w:t>
      </w:r>
      <w:r w:rsidR="00E5424B" w:rsidRPr="001D2746">
        <w:t>[Rule 62-213.440(1)(b)3.a., F.A.C.]</w:t>
      </w:r>
      <w:r w:rsidR="00E5424B" w:rsidRPr="001D2746">
        <w:rPr>
          <w:szCs w:val="22"/>
        </w:rPr>
        <w:t xml:space="preserve"> </w:t>
      </w:r>
    </w:p>
    <w:p w14:paraId="752555C6" w14:textId="77777777" w:rsidR="007D1C4B" w:rsidRPr="001D2746" w:rsidRDefault="007D1C4B" w:rsidP="007D1C4B">
      <w:pPr>
        <w:tabs>
          <w:tab w:val="left" w:pos="360"/>
          <w:tab w:val="left" w:pos="720"/>
          <w:tab w:val="left" w:pos="1080"/>
          <w:tab w:val="left" w:pos="1440"/>
        </w:tabs>
        <w:spacing w:before="120"/>
        <w:ind w:left="360"/>
        <w:rPr>
          <w:i/>
        </w:rPr>
      </w:pPr>
      <w:r w:rsidRPr="001D2746">
        <w:rPr>
          <w:i/>
        </w:rPr>
        <w:t>{Permitting Note:  EPA has clarified that, pursuant to 40 CFR 70.6(a)(3), the word “monitoring” is used in a broad sense and means monitoring (</w:t>
      </w:r>
      <w:r w:rsidR="006B44FA" w:rsidRPr="001D2746">
        <w:rPr>
          <w:i/>
        </w:rPr>
        <w:t xml:space="preserve">i.e., </w:t>
      </w:r>
      <w:r w:rsidRPr="001D2746">
        <w:rPr>
          <w:i/>
        </w:rPr>
        <w:t xml:space="preserve">paying attention to) the compliance of the source with </w:t>
      </w:r>
      <w:r w:rsidRPr="001D2746">
        <w:rPr>
          <w:i/>
          <w:u w:val="single"/>
        </w:rPr>
        <w:t>all</w:t>
      </w:r>
      <w:r w:rsidRPr="001D2746">
        <w:rPr>
          <w:i/>
        </w:rPr>
        <w:t xml:space="preserve"> emissions limitations, standards, and work practices specified in the permit.}</w:t>
      </w:r>
    </w:p>
    <w:p w14:paraId="345878FA" w14:textId="416C43F2" w:rsidR="00EC68D6" w:rsidRPr="00114B42" w:rsidRDefault="00EC68D6" w:rsidP="004D17E2">
      <w:pPr>
        <w:numPr>
          <w:ilvl w:val="0"/>
          <w:numId w:val="1"/>
        </w:numPr>
        <w:tabs>
          <w:tab w:val="left" w:pos="360"/>
          <w:tab w:val="left" w:pos="720"/>
          <w:tab w:val="left" w:pos="1080"/>
          <w:tab w:val="left" w:pos="1440"/>
        </w:tabs>
        <w:spacing w:before="120"/>
        <w:ind w:left="360" w:hanging="360"/>
        <w:rPr>
          <w:szCs w:val="22"/>
        </w:rPr>
      </w:pPr>
      <w:r w:rsidRPr="001D2746">
        <w:rPr>
          <w:szCs w:val="22"/>
          <w:u w:val="single"/>
        </w:rPr>
        <w:t>Submission of Reports</w:t>
      </w:r>
      <w:r w:rsidRPr="001D2746">
        <w:rPr>
          <w:szCs w:val="22"/>
        </w:rPr>
        <w:t xml:space="preserve">.  </w:t>
      </w:r>
      <w:r w:rsidR="00E91F47" w:rsidRPr="001D2746">
        <w:rPr>
          <w:szCs w:val="22"/>
        </w:rPr>
        <w:t>A</w:t>
      </w:r>
      <w:r w:rsidRPr="001D2746">
        <w:rPr>
          <w:szCs w:val="22"/>
        </w:rPr>
        <w:t xml:space="preserve">ll reports shall be submitted </w:t>
      </w:r>
      <w:r w:rsidRPr="001D2746">
        <w:t xml:space="preserve">to the </w:t>
      </w:r>
      <w:r w:rsidR="006B44FA" w:rsidRPr="001D2746">
        <w:t>Department’s C</w:t>
      </w:r>
      <w:r w:rsidRPr="001D2746">
        <w:t xml:space="preserve">ompliance </w:t>
      </w:r>
      <w:r w:rsidR="006B44FA" w:rsidRPr="001D2746">
        <w:t>A</w:t>
      </w:r>
      <w:r w:rsidRPr="001D2746">
        <w:t>uthority listed on the cover page of this permit.</w:t>
      </w:r>
      <w:r w:rsidR="006B44FA" w:rsidRPr="001D2746">
        <w:t xml:space="preserve">  </w:t>
      </w:r>
      <w:r w:rsidR="004245FF" w:rsidRPr="001D2746">
        <w:t>However, i</w:t>
      </w:r>
      <w:r w:rsidR="00E91F47" w:rsidRPr="001D2746">
        <w:t>f a</w:t>
      </w:r>
      <w:r w:rsidR="00E91F47" w:rsidRPr="001D2746">
        <w:rPr>
          <w:szCs w:val="22"/>
        </w:rPr>
        <w:t xml:space="preserve"> condition contained within this permit (including the incorporated appendices listed in the Table of Contents) </w:t>
      </w:r>
      <w:r w:rsidR="00363FDF" w:rsidRPr="001D2746">
        <w:rPr>
          <w:szCs w:val="22"/>
        </w:rPr>
        <w:t xml:space="preserve">allows or </w:t>
      </w:r>
      <w:r w:rsidR="00E91F47" w:rsidRPr="001D2746">
        <w:rPr>
          <w:szCs w:val="22"/>
        </w:rPr>
        <w:t xml:space="preserve">requires the electronic submission of a report directly to the EPA using their Electronic Reporting Tool (ERT), </w:t>
      </w:r>
      <w:r w:rsidR="00D66492" w:rsidRPr="001D2746">
        <w:rPr>
          <w:szCs w:val="22"/>
        </w:rPr>
        <w:t>that report does not also have to be submitted to the Compliance Authority, provided the permittee</w:t>
      </w:r>
      <w:r w:rsidR="004245FF" w:rsidRPr="001D2746">
        <w:rPr>
          <w:szCs w:val="22"/>
        </w:rPr>
        <w:t xml:space="preserve"> complies with all of the specific requirements of that condition and</w:t>
      </w:r>
      <w:r w:rsidR="00D66492" w:rsidRPr="001D2746">
        <w:rPr>
          <w:szCs w:val="22"/>
        </w:rPr>
        <w:t xml:space="preserve"> notifies the Compliance Authority </w:t>
      </w:r>
      <w:r w:rsidR="004245FF" w:rsidRPr="001D2746">
        <w:rPr>
          <w:szCs w:val="22"/>
        </w:rPr>
        <w:t xml:space="preserve">in writing (email) on the same day </w:t>
      </w:r>
      <w:r w:rsidR="00D66492" w:rsidRPr="001D2746">
        <w:rPr>
          <w:szCs w:val="22"/>
        </w:rPr>
        <w:t>that a report has been submitted to the ERT.</w:t>
      </w:r>
      <w:r w:rsidR="00E91F47" w:rsidRPr="001D2746">
        <w:rPr>
          <w:szCs w:val="22"/>
        </w:rPr>
        <w:t xml:space="preserve"> </w:t>
      </w:r>
      <w:r w:rsidR="004245FF" w:rsidRPr="001D2746">
        <w:rPr>
          <w:szCs w:val="22"/>
        </w:rPr>
        <w:t xml:space="preserve"> See Appendix TR, Facility-wide Testing Requirements, for </w:t>
      </w:r>
      <w:r w:rsidR="004F3E6A" w:rsidRPr="001D2746">
        <w:rPr>
          <w:szCs w:val="22"/>
        </w:rPr>
        <w:t xml:space="preserve">specific </w:t>
      </w:r>
      <w:r w:rsidR="004245FF" w:rsidRPr="001D2746">
        <w:rPr>
          <w:szCs w:val="22"/>
        </w:rPr>
        <w:t xml:space="preserve">emission test report submission requirements. </w:t>
      </w:r>
      <w:r w:rsidR="00E91F47" w:rsidRPr="001D2746">
        <w:rPr>
          <w:szCs w:val="22"/>
        </w:rPr>
        <w:t xml:space="preserve"> </w:t>
      </w:r>
      <w:r w:rsidR="004245FF" w:rsidRPr="001D2746">
        <w:t>[Rules 62-4.130, 62-4.160, 62-213.440(1)(b) &amp; 62-297.310(10), F.A.C.]</w:t>
      </w:r>
    </w:p>
    <w:p w14:paraId="717775A6" w14:textId="55CF18E3" w:rsidR="00114B42" w:rsidRDefault="00114B42" w:rsidP="00114B42">
      <w:pPr>
        <w:tabs>
          <w:tab w:val="left" w:pos="360"/>
          <w:tab w:val="left" w:pos="720"/>
          <w:tab w:val="left" w:pos="1080"/>
          <w:tab w:val="left" w:pos="1440"/>
        </w:tabs>
        <w:spacing w:before="120"/>
        <w:rPr>
          <w:szCs w:val="22"/>
        </w:rPr>
      </w:pPr>
    </w:p>
    <w:p w14:paraId="04FAA212" w14:textId="579EDCB7" w:rsidR="00114B42" w:rsidRPr="001D2746" w:rsidRDefault="00221AA1" w:rsidP="00114B42">
      <w:pPr>
        <w:tabs>
          <w:tab w:val="left" w:pos="360"/>
          <w:tab w:val="left" w:pos="720"/>
          <w:tab w:val="left" w:pos="1080"/>
          <w:tab w:val="left" w:pos="1440"/>
        </w:tabs>
        <w:spacing w:before="120"/>
        <w:rPr>
          <w:szCs w:val="22"/>
        </w:rPr>
      </w:pPr>
      <w:hyperlink w:anchor="TableofContents" w:history="1">
        <w:r w:rsidR="00114B42" w:rsidRPr="00114B42">
          <w:rPr>
            <w:rStyle w:val="Hyperlink"/>
            <w:szCs w:val="22"/>
          </w:rPr>
          <w:t>Table of Contents</w:t>
        </w:r>
      </w:hyperlink>
    </w:p>
    <w:p w14:paraId="5A8D1A80" w14:textId="77777777" w:rsidR="00B96268" w:rsidRDefault="00B96268" w:rsidP="005D3995">
      <w:pPr>
        <w:tabs>
          <w:tab w:val="left" w:pos="360"/>
          <w:tab w:val="left" w:pos="720"/>
          <w:tab w:val="left" w:pos="1080"/>
          <w:tab w:val="left" w:pos="1440"/>
        </w:tabs>
        <w:spacing w:before="120"/>
        <w:ind w:left="360" w:hanging="360"/>
        <w:jc w:val="both"/>
        <w:sectPr w:rsidR="00B96268" w:rsidSect="000A0A5C">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p>
    <w:p w14:paraId="723E8799" w14:textId="44FB54D7" w:rsidR="00151782" w:rsidRPr="00B91D1B" w:rsidRDefault="00151782" w:rsidP="007C667F">
      <w:pPr>
        <w:spacing w:after="60"/>
        <w:rPr>
          <w:szCs w:val="22"/>
        </w:rPr>
      </w:pPr>
      <w:bookmarkStart w:id="10" w:name="SectionIII"/>
      <w:bookmarkEnd w:id="10"/>
      <w:r>
        <w:rPr>
          <w:b/>
        </w:rPr>
        <w:lastRenderedPageBreak/>
        <w:t>The specific conditions in this section apply to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14:paraId="1274EB10" w14:textId="77777777" w:rsidTr="005D3995">
        <w:tc>
          <w:tcPr>
            <w:tcW w:w="939" w:type="dxa"/>
            <w:tcBorders>
              <w:top w:val="single" w:sz="12" w:space="0" w:color="auto"/>
              <w:bottom w:val="single" w:sz="12" w:space="0" w:color="auto"/>
            </w:tcBorders>
          </w:tcPr>
          <w:p w14:paraId="63E4F663" w14:textId="77777777"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Borders>
              <w:top w:val="single" w:sz="12" w:space="0" w:color="auto"/>
              <w:bottom w:val="single" w:sz="12" w:space="0" w:color="auto"/>
            </w:tcBorders>
          </w:tcPr>
          <w:p w14:paraId="61CD0CE7" w14:textId="77777777" w:rsidR="00151782" w:rsidRPr="00D075B0" w:rsidRDefault="00151782" w:rsidP="00D66F5B">
            <w:pPr>
              <w:rPr>
                <w:b/>
                <w:szCs w:val="22"/>
              </w:rPr>
            </w:pPr>
            <w:r w:rsidRPr="00D075B0">
              <w:rPr>
                <w:b/>
                <w:szCs w:val="22"/>
              </w:rPr>
              <w:t>Brief Description</w:t>
            </w:r>
          </w:p>
        </w:tc>
      </w:tr>
      <w:tr w:rsidR="00151782" w14:paraId="1A805D74" w14:textId="77777777" w:rsidTr="005D3995">
        <w:tc>
          <w:tcPr>
            <w:tcW w:w="939" w:type="dxa"/>
            <w:tcBorders>
              <w:top w:val="single" w:sz="12" w:space="0" w:color="auto"/>
            </w:tcBorders>
            <w:vAlign w:val="center"/>
          </w:tcPr>
          <w:p w14:paraId="2A6A82EE" w14:textId="10354DA6" w:rsidR="00151782" w:rsidRPr="00A532D4" w:rsidRDefault="005746AB" w:rsidP="00151782">
            <w:pPr>
              <w:jc w:val="center"/>
              <w:rPr>
                <w:szCs w:val="22"/>
                <w:highlight w:val="yellow"/>
              </w:rPr>
            </w:pPr>
            <w:r>
              <w:rPr>
                <w:szCs w:val="22"/>
              </w:rPr>
              <w:t>001</w:t>
            </w:r>
          </w:p>
        </w:tc>
        <w:tc>
          <w:tcPr>
            <w:tcW w:w="9015" w:type="dxa"/>
            <w:tcBorders>
              <w:top w:val="single" w:sz="12" w:space="0" w:color="auto"/>
            </w:tcBorders>
          </w:tcPr>
          <w:p w14:paraId="532DAE31" w14:textId="39A911A9" w:rsidR="00151782" w:rsidRPr="00D075B0" w:rsidRDefault="005746AB" w:rsidP="00D66F5B">
            <w:pPr>
              <w:rPr>
                <w:szCs w:val="22"/>
              </w:rPr>
            </w:pPr>
            <w:r>
              <w:t>Municipal Solid Waste Landfill</w:t>
            </w:r>
          </w:p>
        </w:tc>
      </w:tr>
    </w:tbl>
    <w:p w14:paraId="7E1CB604" w14:textId="1206FD7B" w:rsidR="00B63E8A" w:rsidRDefault="009E0ABC" w:rsidP="007C667F">
      <w:pPr>
        <w:spacing w:before="120" w:after="120"/>
      </w:pPr>
      <w:r>
        <w:t>This emissions unit consists o</w:t>
      </w:r>
      <w:r w:rsidR="00ED1D89">
        <w:t>f Class I and Class III cells.  Landfill gas that contains nonmethane organic compounds (NMOC) is the primary emission f</w:t>
      </w:r>
      <w:r w:rsidR="00B63E8A">
        <w:t>rom</w:t>
      </w:r>
      <w:r w:rsidR="00ED1D89">
        <w:t xml:space="preserve"> this unit.  </w:t>
      </w:r>
      <w:r w:rsidR="00B63E8A">
        <w:t xml:space="preserve">An NMOC emission rate estimate of 63.05 megagrams (Mg) per year for 2012 was submitted on January 19, 2012.  This exceeds both the 50 Mg per year threshold in 40 CFR 60, Subpart WWW and the 34 Mg per year threshold in 40 CFR 60, Subpart XXX.  </w:t>
      </w:r>
      <w:r w:rsidR="00FA4357">
        <w:t>Tier II sampling was performed in December of 2011 and reported on January 30, 2012.  The Tier II test used a revised U.S. EPA Landfill Gas Emission Model (LandGEM) to estimate the NMOC emission rate per year.  The rate was projected to be 0.805 Mg per year for 2012 and 0.823 per year for 2017.  A second Tier II test was due in 2016.  This sampling was performed on November 16 and 17, 2016 and reported on January 6, 2017.  The LandGEM model for this test calculated a projected NMOC emission rate of 6.025 Mg per year in 2016 and 7.672 Mg per year in 2021.  Both sets of values are considerably lower than Subpart WWW and Subpart XXX threshold.  Thus, a landfill gas collection and control syst</w:t>
      </w:r>
      <w:r w:rsidR="00B419DB">
        <w:t>em is not required and landfill gas is currently vented into the atmosphere.  The low NMOC emission rate is expected, because a majority of the waste accepted by this facility is non-putrescible combustor ash from Bay County Energy Systems, Inc.</w:t>
      </w:r>
      <w:r w:rsidR="00FA4357">
        <w:t xml:space="preserve">  </w:t>
      </w:r>
    </w:p>
    <w:p w14:paraId="690491E6" w14:textId="29C1FDE7" w:rsidR="00ED1D89" w:rsidRDefault="00ED1D89" w:rsidP="007C667F">
      <w:pPr>
        <w:spacing w:before="120" w:after="120"/>
      </w:pPr>
      <w:r>
        <w:t xml:space="preserve">This unit’s permitted capacity of 5.95 </w:t>
      </w:r>
      <w:r w:rsidR="00A72FBB">
        <w:t xml:space="preserve">million Mg </w:t>
      </w:r>
      <w:r>
        <w:t xml:space="preserve">is greater than 2.5 </w:t>
      </w:r>
      <w:r w:rsidR="00A72FBB">
        <w:t xml:space="preserve">million Mg </w:t>
      </w:r>
      <w:r>
        <w:t xml:space="preserve">and modification, construction, or reconstruction commenced after July 17, 2014.  Thus, this unit is a Title V facility subject to NSPS 40 CFR 60 Subpart XXX, </w:t>
      </w:r>
      <w:r w:rsidRPr="00ED1D89">
        <w:t>Standards of Performance for Municipal Solid Waste Landfills That Commenced Construction, Reconstruction, or Modification After July 17, 2014</w:t>
      </w:r>
      <w:r>
        <w:t xml:space="preserve">.  </w:t>
      </w:r>
      <w:r w:rsidR="00B419DB">
        <w:t xml:space="preserve">This facility is also an active asbestos waste disposal site subject to NESHAP 40 CFR 61, Subpart M – National Emission Standard for Asbestos.  </w:t>
      </w:r>
      <w:r w:rsidR="00846D2B">
        <w:t xml:space="preserve">This facility is not subject to 40 CFR 63, Subpart AAAA – NESHAP: MSW Landfills, because its uncontrolled NMOC emissions are less than 50 Mg per year and the facility has no bioreactor.  </w:t>
      </w:r>
      <w:r w:rsidR="00B419DB">
        <w:t xml:space="preserve"> </w:t>
      </w:r>
    </w:p>
    <w:p w14:paraId="00DD4441" w14:textId="2D9A72B4" w:rsidR="001D2746" w:rsidRPr="001D2746" w:rsidRDefault="001D2746" w:rsidP="007C667F">
      <w:pPr>
        <w:spacing w:before="120" w:after="120"/>
        <w:rPr>
          <w:i/>
        </w:rPr>
      </w:pPr>
      <w:r>
        <w:rPr>
          <w:i/>
        </w:rPr>
        <w:t xml:space="preserve">{Permitting Note:  </w:t>
      </w:r>
      <w:r w:rsidR="00657025">
        <w:rPr>
          <w:i/>
        </w:rPr>
        <w:t>Because Subpart XXX is more stringent than Subpart WWW, compliance with Subpart XXX assures compliance with Subpart WWW.</w:t>
      </w:r>
      <w:r>
        <w:rPr>
          <w:i/>
        </w:rPr>
        <w:t>}</w:t>
      </w:r>
    </w:p>
    <w:p w14:paraId="517CCC8E" w14:textId="77777777" w:rsidR="00151782" w:rsidRDefault="00151782" w:rsidP="007C667F">
      <w:pPr>
        <w:tabs>
          <w:tab w:val="left" w:pos="0"/>
        </w:tabs>
        <w:suppressAutoHyphens/>
        <w:spacing w:after="120"/>
        <w:jc w:val="both"/>
        <w:rPr>
          <w:b/>
          <w:u w:val="single"/>
        </w:rPr>
      </w:pPr>
      <w:r>
        <w:rPr>
          <w:b/>
          <w:u w:val="single"/>
        </w:rPr>
        <w:t>Essential Potential to Emit (PTE) Parameters</w:t>
      </w:r>
    </w:p>
    <w:p w14:paraId="67E0669D" w14:textId="3856358D" w:rsidR="00CD10E7" w:rsidRDefault="00151782" w:rsidP="004D17E2">
      <w:pPr>
        <w:numPr>
          <w:ilvl w:val="0"/>
          <w:numId w:val="2"/>
        </w:numPr>
        <w:tabs>
          <w:tab w:val="left" w:pos="360"/>
          <w:tab w:val="num" w:pos="720"/>
        </w:tabs>
        <w:spacing w:after="120"/>
        <w:ind w:left="360" w:hanging="360"/>
      </w:pPr>
      <w:r w:rsidRPr="00C66B90">
        <w:rPr>
          <w:u w:val="single"/>
        </w:rPr>
        <w:t>Hours of Operation</w:t>
      </w:r>
      <w:r w:rsidRPr="00EA2014">
        <w:t>.</w:t>
      </w:r>
      <w:r w:rsidRPr="00C66B90">
        <w:t xml:space="preserve">  </w:t>
      </w:r>
      <w:r w:rsidR="005D3995">
        <w:t>This</w:t>
      </w:r>
      <w:r w:rsidRPr="00C66B90">
        <w:t xml:space="preserve"> emission</w:t>
      </w:r>
      <w:r w:rsidRPr="00E9378E">
        <w:t>s</w:t>
      </w:r>
      <w:r w:rsidRPr="00C66B90">
        <w:t xml:space="preserve"> unit may operate </w:t>
      </w:r>
      <w:r w:rsidRPr="005D3995">
        <w:t>continuously (8</w:t>
      </w:r>
      <w:r w:rsidR="00653783" w:rsidRPr="005D3995">
        <w:t>,</w:t>
      </w:r>
      <w:r w:rsidRPr="005D3995">
        <w:t>760 hours/year).</w:t>
      </w:r>
      <w:r w:rsidRPr="00C66B90">
        <w:t xml:space="preserve">  [</w:t>
      </w:r>
      <w:r w:rsidR="0040654E">
        <w:t xml:space="preserve">Rules 62-4.460(2) and </w:t>
      </w:r>
      <w:r w:rsidRPr="00C66B90">
        <w:t>62-210.200(PTE), F.A.C.]</w:t>
      </w:r>
    </w:p>
    <w:p w14:paraId="3DD36113" w14:textId="77777777" w:rsidR="00CD10E7" w:rsidRDefault="00CD10E7" w:rsidP="00CD10E7">
      <w:pPr>
        <w:tabs>
          <w:tab w:val="left" w:pos="0"/>
        </w:tabs>
        <w:suppressAutoHyphens/>
        <w:spacing w:before="120" w:after="120"/>
        <w:rPr>
          <w:b/>
          <w:u w:val="single"/>
        </w:rPr>
      </w:pPr>
      <w:r w:rsidRPr="00B33C23">
        <w:rPr>
          <w:b/>
          <w:u w:val="single"/>
        </w:rPr>
        <w:t>Emission Limitations and Standards</w:t>
      </w:r>
    </w:p>
    <w:p w14:paraId="3B2B1139" w14:textId="56B935A7" w:rsidR="00244CBE" w:rsidRPr="00244CBE" w:rsidRDefault="00244CBE" w:rsidP="00CD10E7">
      <w:pPr>
        <w:tabs>
          <w:tab w:val="left" w:pos="0"/>
        </w:tabs>
        <w:suppressAutoHyphens/>
        <w:spacing w:before="120" w:after="120"/>
      </w:pPr>
      <w:r w:rsidRPr="0049740F">
        <w:t>Unless otherwise specified, the averaging time for Specific Conditio</w:t>
      </w:r>
      <w:r w:rsidRPr="00095444">
        <w:t>n A.</w:t>
      </w:r>
      <w:r w:rsidR="00095444" w:rsidRPr="00095444">
        <w:t>2 i</w:t>
      </w:r>
      <w:r w:rsidR="00095444">
        <w:t>s</w:t>
      </w:r>
      <w:r w:rsidRPr="0049740F">
        <w:t xml:space="preserve"> based on the specified averaging time of the applicable test method.</w:t>
      </w:r>
    </w:p>
    <w:p w14:paraId="7B23DC22" w14:textId="4704B82B" w:rsidR="009D03DD" w:rsidRDefault="008338AE" w:rsidP="004D17E2">
      <w:pPr>
        <w:numPr>
          <w:ilvl w:val="0"/>
          <w:numId w:val="2"/>
        </w:numPr>
        <w:tabs>
          <w:tab w:val="num" w:pos="720"/>
          <w:tab w:val="left" w:pos="1080"/>
          <w:tab w:val="left" w:pos="1440"/>
        </w:tabs>
        <w:spacing w:after="120"/>
        <w:ind w:left="360" w:hanging="360"/>
      </w:pPr>
      <w:r w:rsidRPr="008338AE">
        <w:rPr>
          <w:u w:val="single"/>
        </w:rPr>
        <w:t>NMOC Emission Rate.</w:t>
      </w:r>
      <w:r w:rsidRPr="008338AE">
        <w:t xml:space="preserve">  The </w:t>
      </w:r>
      <w:r>
        <w:t xml:space="preserve">owner or operator shall calculate an NMOC emission rate for the landfill using the procedures specified in 40 CFR 60.764 (see </w:t>
      </w:r>
      <w:hyperlink w:anchor="SCA7" w:tooltip=" " w:history="1">
        <w:r w:rsidRPr="00810CD5">
          <w:rPr>
            <w:rStyle w:val="Hyperlink"/>
            <w:b/>
            <w:color w:val="auto"/>
            <w:u w:val="none"/>
          </w:rPr>
          <w:t>Specific Condition</w:t>
        </w:r>
        <w:r w:rsidR="000E40A8" w:rsidRPr="00810CD5">
          <w:rPr>
            <w:rStyle w:val="Hyperlink"/>
            <w:b/>
            <w:color w:val="auto"/>
            <w:u w:val="none"/>
          </w:rPr>
          <w:t>s</w:t>
        </w:r>
        <w:r w:rsidRPr="00810CD5">
          <w:rPr>
            <w:rStyle w:val="Hyperlink"/>
            <w:b/>
            <w:color w:val="auto"/>
            <w:u w:val="none"/>
          </w:rPr>
          <w:t xml:space="preserve"> </w:t>
        </w:r>
        <w:r w:rsidR="00810CD5" w:rsidRPr="00810CD5">
          <w:rPr>
            <w:rStyle w:val="Hyperlink"/>
            <w:b/>
            <w:color w:val="auto"/>
            <w:u w:val="none"/>
          </w:rPr>
          <w:t>A.7.</w:t>
        </w:r>
      </w:hyperlink>
      <w:r w:rsidR="000E40A8" w:rsidRPr="00D155D9">
        <w:t xml:space="preserve"> and</w:t>
      </w:r>
      <w:r w:rsidR="00810CD5">
        <w:t xml:space="preserve"> </w:t>
      </w:r>
      <w:hyperlink w:anchor="SCA8" w:history="1">
        <w:r w:rsidR="00810CD5" w:rsidRPr="00810CD5">
          <w:rPr>
            <w:rStyle w:val="Hyperlink"/>
            <w:b/>
            <w:color w:val="auto"/>
            <w:u w:val="none"/>
          </w:rPr>
          <w:t>A.8.</w:t>
        </w:r>
      </w:hyperlink>
      <w:r w:rsidR="001D3996">
        <w:t>)</w:t>
      </w:r>
      <w:r>
        <w:t xml:space="preserve">.  </w:t>
      </w:r>
    </w:p>
    <w:p w14:paraId="2E5630DC" w14:textId="06E72EF3" w:rsidR="00BA480C" w:rsidRDefault="00BA480C" w:rsidP="004D17E2">
      <w:pPr>
        <w:pStyle w:val="ListParagraph"/>
        <w:numPr>
          <w:ilvl w:val="1"/>
          <w:numId w:val="2"/>
        </w:numPr>
        <w:tabs>
          <w:tab w:val="left" w:pos="1080"/>
          <w:tab w:val="left" w:pos="1440"/>
        </w:tabs>
        <w:spacing w:after="120"/>
        <w:ind w:hanging="360"/>
      </w:pPr>
      <w:r>
        <w:t>If the calculated NMOC emission rate is less than 34 megagrams per year, the owner or operator must:</w:t>
      </w:r>
    </w:p>
    <w:p w14:paraId="702F7759" w14:textId="2EDB658D" w:rsidR="0039614D" w:rsidRDefault="0039614D" w:rsidP="004D17E2">
      <w:pPr>
        <w:pStyle w:val="ListParagraph"/>
        <w:numPr>
          <w:ilvl w:val="3"/>
          <w:numId w:val="2"/>
        </w:numPr>
        <w:tabs>
          <w:tab w:val="left" w:pos="1080"/>
          <w:tab w:val="left" w:pos="1440"/>
        </w:tabs>
        <w:spacing w:after="120"/>
        <w:ind w:left="1080"/>
      </w:pPr>
      <w:r>
        <w:t xml:space="preserve">Submit an annual NMOC emissions rate report to the compliance authority, except as provided in 40 CFR 60.767(b)(1)(ii) (see </w:t>
      </w:r>
      <w:hyperlink w:anchor="SCA15b" w:tooltip=" " w:history="1">
        <w:r w:rsidRPr="00810CD5">
          <w:rPr>
            <w:rStyle w:val="Hyperlink"/>
            <w:b/>
            <w:color w:val="auto"/>
            <w:u w:val="none"/>
          </w:rPr>
          <w:t>Specific Condition</w:t>
        </w:r>
        <w:r w:rsidR="00810CD5" w:rsidRPr="00810CD5">
          <w:rPr>
            <w:rStyle w:val="Hyperlink"/>
            <w:b/>
            <w:color w:val="auto"/>
            <w:u w:val="none"/>
          </w:rPr>
          <w:t xml:space="preserve"> A.15.b.</w:t>
        </w:r>
      </w:hyperlink>
      <w:r>
        <w:t>)</w:t>
      </w:r>
    </w:p>
    <w:p w14:paraId="6802979A" w14:textId="77777777" w:rsidR="0039614D" w:rsidRDefault="0039614D" w:rsidP="004D17E2">
      <w:pPr>
        <w:pStyle w:val="ListParagraph"/>
        <w:numPr>
          <w:ilvl w:val="3"/>
          <w:numId w:val="2"/>
        </w:numPr>
        <w:tabs>
          <w:tab w:val="left" w:pos="1080"/>
          <w:tab w:val="left" w:pos="1440"/>
        </w:tabs>
        <w:spacing w:after="120"/>
        <w:ind w:left="1080"/>
      </w:pPr>
      <w:r>
        <w:t>Recalculate the NMOC emission rate annually using the procedures in 40 CFR 60.764(a)(1) until such time as the calculated NMOC emission rate is equal to or greater than 34 megagrams per year, or the landfill is closed.</w:t>
      </w:r>
    </w:p>
    <w:p w14:paraId="467EDBF7" w14:textId="2CE15F9A" w:rsidR="0039614D" w:rsidRDefault="0039614D" w:rsidP="004D17E2">
      <w:pPr>
        <w:pStyle w:val="ListParagraph"/>
        <w:numPr>
          <w:ilvl w:val="4"/>
          <w:numId w:val="2"/>
        </w:numPr>
        <w:tabs>
          <w:tab w:val="left" w:pos="1080"/>
          <w:tab w:val="left" w:pos="1440"/>
        </w:tabs>
        <w:spacing w:after="120"/>
        <w:ind w:left="1440"/>
      </w:pPr>
      <w:r>
        <w:t>If the calculated NMOC emission rate, upon initial calculation or annual recalculation required in 40 CFR 60.762(b), is equal to or greater than 34 megagrams per year, the owner or operator must either: Comply with paragraph 40 CFR 60.762(b)(2)</w:t>
      </w:r>
      <w:r w:rsidR="00D87F92">
        <w:t xml:space="preserve"> (</w:t>
      </w:r>
      <w:r w:rsidR="00D87F92" w:rsidRPr="000805D5">
        <w:rPr>
          <w:i/>
        </w:rPr>
        <w:t>i.e.</w:t>
      </w:r>
      <w:r w:rsidR="00D87F92">
        <w:t xml:space="preserve"> install a landfill gas collection and control system)</w:t>
      </w:r>
      <w:r>
        <w:t xml:space="preserve">; calculate NMOC emissions using the next higher tier in 40 CFR 60.764; or </w:t>
      </w:r>
      <w:r>
        <w:lastRenderedPageBreak/>
        <w:t>conduct a surface emission monitoring demonstration using the procedures specified in 40 CFR 60.764(a)(6)</w:t>
      </w:r>
      <w:r w:rsidR="00D87F92">
        <w:t xml:space="preserve"> (</w:t>
      </w:r>
      <w:r w:rsidR="00D87F92" w:rsidRPr="000805D5">
        <w:rPr>
          <w:i/>
        </w:rPr>
        <w:t>i.e.</w:t>
      </w:r>
      <w:r w:rsidR="00D87F92">
        <w:t xml:space="preserve"> Tier 4 monitoring)</w:t>
      </w:r>
      <w:r>
        <w:t>.</w:t>
      </w:r>
    </w:p>
    <w:p w14:paraId="0BC97796" w14:textId="77777777" w:rsidR="0039614D" w:rsidRPr="001D3996" w:rsidRDefault="0039614D" w:rsidP="004D17E2">
      <w:pPr>
        <w:pStyle w:val="ListParagraph"/>
        <w:numPr>
          <w:ilvl w:val="4"/>
          <w:numId w:val="2"/>
        </w:numPr>
        <w:tabs>
          <w:tab w:val="left" w:pos="1080"/>
          <w:tab w:val="left" w:pos="1440"/>
        </w:tabs>
        <w:spacing w:after="120"/>
        <w:ind w:left="1440"/>
      </w:pPr>
      <w:r>
        <w:t>If the landfill is permanently closed, a closure report must be submitted to the Department as provided for in 40 CFR 60.767(e)</w:t>
      </w:r>
    </w:p>
    <w:p w14:paraId="6E00D506" w14:textId="4E47D374" w:rsidR="0039614D" w:rsidRDefault="0039614D" w:rsidP="004D17E2">
      <w:pPr>
        <w:pStyle w:val="ListParagraph"/>
        <w:numPr>
          <w:ilvl w:val="1"/>
          <w:numId w:val="2"/>
        </w:numPr>
        <w:tabs>
          <w:tab w:val="left" w:pos="1080"/>
          <w:tab w:val="left" w:pos="1440"/>
        </w:tabs>
        <w:spacing w:after="120"/>
        <w:ind w:hanging="360"/>
      </w:pPr>
      <w:bookmarkStart w:id="11" w:name="SCA2b"/>
      <w:bookmarkEnd w:id="11"/>
      <w:r>
        <w:t>If the calculated NMOC emission rate is equal to or greater than 34 megagrams per year using Tier 1, 2, or 3 procedures, the owner or operator must either:</w:t>
      </w:r>
    </w:p>
    <w:p w14:paraId="3487D618" w14:textId="2A34C42E" w:rsidR="0039614D" w:rsidRDefault="000111C2" w:rsidP="004D17E2">
      <w:pPr>
        <w:pStyle w:val="ListParagraph"/>
        <w:numPr>
          <w:ilvl w:val="3"/>
          <w:numId w:val="2"/>
        </w:numPr>
        <w:tabs>
          <w:tab w:val="left" w:pos="1080"/>
          <w:tab w:val="left" w:pos="1440"/>
        </w:tabs>
        <w:spacing w:after="120"/>
        <w:ind w:left="1080"/>
      </w:pPr>
      <w:r>
        <w:t xml:space="preserve">Calculated </w:t>
      </w:r>
      <w:r>
        <w:rPr>
          <w:i/>
        </w:rPr>
        <w:t>NMOC Emission Rate</w:t>
      </w:r>
      <w:r>
        <w:t>.  Submit a collection and control system design plan (see</w:t>
      </w:r>
      <w:r w:rsidR="00966A51">
        <w:t xml:space="preserve"> </w:t>
      </w:r>
      <w:hyperlink w:anchor="SCA4" w:tooltip=" " w:history="1">
        <w:r w:rsidR="00966A51" w:rsidRPr="00810CD5">
          <w:rPr>
            <w:rStyle w:val="Hyperlink"/>
            <w:b/>
            <w:color w:val="auto"/>
            <w:u w:val="none"/>
          </w:rPr>
          <w:t>Specific Condition</w:t>
        </w:r>
        <w:r w:rsidR="00810CD5" w:rsidRPr="00810CD5">
          <w:rPr>
            <w:rStyle w:val="Hyperlink"/>
            <w:b/>
            <w:color w:val="auto"/>
            <w:u w:val="none"/>
          </w:rPr>
          <w:t xml:space="preserve"> A.4.</w:t>
        </w:r>
      </w:hyperlink>
      <w:r w:rsidRPr="000111C2">
        <w:t>)</w:t>
      </w:r>
      <w:r>
        <w:t xml:space="preserve"> prepared by a professional engineer to the Department within 1 year as specified in 40 CFR 60.767(c); calculate NMOC emissions using the next higher tier in 40 CFR 60.764; or conduct a surface emission monitoring demonstration using the procedures specified in</w:t>
      </w:r>
      <w:r w:rsidR="00966A51">
        <w:t xml:space="preserve"> </w:t>
      </w:r>
      <w:hyperlink w:anchor="SCA12" w:tooltip=" " w:history="1">
        <w:r w:rsidR="00966A51" w:rsidRPr="00B9145E">
          <w:rPr>
            <w:rStyle w:val="Hyperlink"/>
            <w:b/>
            <w:color w:val="auto"/>
            <w:u w:val="none"/>
          </w:rPr>
          <w:t>Specific Condition</w:t>
        </w:r>
        <w:r w:rsidR="00B9145E" w:rsidRPr="00B9145E">
          <w:rPr>
            <w:rStyle w:val="Hyperlink"/>
            <w:b/>
            <w:color w:val="auto"/>
            <w:u w:val="none"/>
          </w:rPr>
          <w:t xml:space="preserve"> A.12.</w:t>
        </w:r>
      </w:hyperlink>
      <w:r w:rsidR="00B9145E" w:rsidRPr="00B9145E">
        <w:t xml:space="preserve"> </w:t>
      </w:r>
      <w:r>
        <w:t xml:space="preserve"> The collection and control system must meet the requirement</w:t>
      </w:r>
      <w:r w:rsidR="00A57DD4">
        <w:t xml:space="preserve">s in </w:t>
      </w:r>
      <w:hyperlink w:anchor="SCA4" w:tooltip=" " w:history="1">
        <w:r w:rsidR="00142915" w:rsidRPr="00810CD5">
          <w:rPr>
            <w:rStyle w:val="Hyperlink"/>
            <w:b/>
            <w:color w:val="auto"/>
            <w:u w:val="none"/>
          </w:rPr>
          <w:t>Specific Condition A.4</w:t>
        </w:r>
        <w:r w:rsidR="000D7A7E" w:rsidRPr="00810CD5">
          <w:rPr>
            <w:rStyle w:val="Hyperlink"/>
            <w:b/>
            <w:color w:val="auto"/>
            <w:u w:val="none"/>
          </w:rPr>
          <w:t>.</w:t>
        </w:r>
      </w:hyperlink>
      <w:r w:rsidR="00142915">
        <w:t xml:space="preserve">  </w:t>
      </w:r>
    </w:p>
    <w:p w14:paraId="60760957" w14:textId="65716BED" w:rsidR="009A58CF" w:rsidRDefault="009A58CF" w:rsidP="004D17E2">
      <w:pPr>
        <w:pStyle w:val="ListParagraph"/>
        <w:numPr>
          <w:ilvl w:val="3"/>
          <w:numId w:val="2"/>
        </w:numPr>
        <w:tabs>
          <w:tab w:val="left" w:pos="1080"/>
          <w:tab w:val="left" w:pos="1440"/>
        </w:tabs>
        <w:spacing w:after="120"/>
        <w:ind w:left="1080"/>
      </w:pPr>
      <w:r>
        <w:rPr>
          <w:i/>
        </w:rPr>
        <w:t>Collection System.</w:t>
      </w:r>
      <w:r>
        <w:t xml:space="preserve">  Install and start up a collection and control system that captures the gas generated within the landfill as required by 40 CFR 60.762(b)(2)(ii)(C) or (D) and 40 CFR 60.762(b)(2)(iii) of this section within 30 months after</w:t>
      </w:r>
      <w:r w:rsidR="00B52922">
        <w:t xml:space="preserve">: (See </w:t>
      </w:r>
      <w:hyperlink w:anchor="SCA4" w:tooltip=" " w:history="1">
        <w:r w:rsidR="00B52922" w:rsidRPr="00810CD5">
          <w:rPr>
            <w:rStyle w:val="Hyperlink"/>
            <w:b/>
            <w:color w:val="auto"/>
            <w:u w:val="none"/>
          </w:rPr>
          <w:t>Specific Condition A</w:t>
        </w:r>
        <w:r w:rsidR="000D7A7E" w:rsidRPr="00810CD5">
          <w:rPr>
            <w:rStyle w:val="Hyperlink"/>
            <w:b/>
            <w:color w:val="auto"/>
            <w:u w:val="none"/>
          </w:rPr>
          <w:t>.</w:t>
        </w:r>
        <w:r w:rsidR="00C62D0B" w:rsidRPr="00810CD5">
          <w:rPr>
            <w:rStyle w:val="Hyperlink"/>
            <w:b/>
            <w:color w:val="auto"/>
            <w:u w:val="none"/>
          </w:rPr>
          <w:t>4</w:t>
        </w:r>
        <w:r w:rsidR="000D7A7E" w:rsidRPr="00810CD5">
          <w:rPr>
            <w:rStyle w:val="Hyperlink"/>
            <w:b/>
            <w:color w:val="auto"/>
            <w:u w:val="none"/>
          </w:rPr>
          <w:t>.</w:t>
        </w:r>
      </w:hyperlink>
      <w:r w:rsidR="00630619" w:rsidRPr="00630619">
        <w:t>)</w:t>
      </w:r>
    </w:p>
    <w:p w14:paraId="38D28516" w14:textId="51ADE94B" w:rsidR="009A58CF" w:rsidRDefault="009A58CF" w:rsidP="004D17E2">
      <w:pPr>
        <w:pStyle w:val="ListParagraph"/>
        <w:numPr>
          <w:ilvl w:val="4"/>
          <w:numId w:val="2"/>
        </w:numPr>
        <w:tabs>
          <w:tab w:val="left" w:pos="1080"/>
          <w:tab w:val="left" w:pos="1440"/>
        </w:tabs>
        <w:spacing w:after="120"/>
        <w:ind w:left="1440"/>
      </w:pPr>
      <w:r>
        <w:t>The first annual report in which the NMOC emission rate equals or exceeds 34 megagrams per year, unless Tier 2 or Tier 3 sampling demonstrates that the NMOC emission rate is less than 34 megagrams per year, as specified in 40 CFR 60.767(c)(4); or</w:t>
      </w:r>
    </w:p>
    <w:p w14:paraId="17DBCA79" w14:textId="64A45C06" w:rsidR="009A58CF" w:rsidRDefault="009A58CF" w:rsidP="004D17E2">
      <w:pPr>
        <w:pStyle w:val="ListParagraph"/>
        <w:numPr>
          <w:ilvl w:val="4"/>
          <w:numId w:val="2"/>
        </w:numPr>
        <w:tabs>
          <w:tab w:val="left" w:pos="1080"/>
          <w:tab w:val="left" w:pos="1440"/>
        </w:tabs>
        <w:ind w:left="1440"/>
      </w:pPr>
      <w:r>
        <w:t>The most recent NMOC emission rate report in which the NMOC emission rate equals or exceeds 34 megagrams per year based on Tier 2, if the Tier 4 surface emissions monitoring shows a surface methane emission concentration of 500 parts per million methane or greater as specified in 40 CFR</w:t>
      </w:r>
      <w:r w:rsidR="00DB1CBB">
        <w:t xml:space="preserve"> 60.767(c)(4)(iii).  </w:t>
      </w:r>
    </w:p>
    <w:p w14:paraId="605965E8" w14:textId="0975EA8E" w:rsidR="0039614D" w:rsidRDefault="00E22806" w:rsidP="00C62D0B">
      <w:pPr>
        <w:tabs>
          <w:tab w:val="left" w:pos="1440"/>
        </w:tabs>
        <w:spacing w:after="120"/>
        <w:ind w:left="360"/>
      </w:pPr>
      <w:r>
        <w:t>[40 CFR 60.762(b)]</w:t>
      </w:r>
    </w:p>
    <w:p w14:paraId="0BB3FC04" w14:textId="498040BA" w:rsidR="00E22806" w:rsidRPr="00E22806" w:rsidRDefault="00E22806" w:rsidP="00E22806">
      <w:pPr>
        <w:tabs>
          <w:tab w:val="left" w:pos="1440"/>
        </w:tabs>
        <w:spacing w:after="120"/>
        <w:rPr>
          <w:b/>
          <w:u w:val="single"/>
        </w:rPr>
      </w:pPr>
      <w:r>
        <w:rPr>
          <w:b/>
          <w:u w:val="single"/>
        </w:rPr>
        <w:t>Operational Requirements and Control Technology</w:t>
      </w:r>
    </w:p>
    <w:p w14:paraId="2A0E3678" w14:textId="345FE304" w:rsidR="002F4D75" w:rsidRDefault="002F4D75" w:rsidP="004D17E2">
      <w:pPr>
        <w:numPr>
          <w:ilvl w:val="0"/>
          <w:numId w:val="2"/>
        </w:numPr>
        <w:tabs>
          <w:tab w:val="num" w:pos="720"/>
          <w:tab w:val="left" w:pos="1080"/>
          <w:tab w:val="left" w:pos="1440"/>
        </w:tabs>
        <w:ind w:left="360" w:hanging="360"/>
      </w:pPr>
      <w:r w:rsidRPr="002F4D75">
        <w:rPr>
          <w:u w:val="single"/>
        </w:rPr>
        <w:t>Operational Standards for Asbestos Waste Disposal</w:t>
      </w:r>
      <w:r>
        <w:t>.  Because this facility receives asbestos-containing waste material from:  asbestos mills; manufacturing, fabricating, demolition, renovation, and spraying operations; and operations that convert asbestos-containing waste material into non-asbestos (asbestos-free) material, the owner or operator shall meet the following requirements:</w:t>
      </w:r>
    </w:p>
    <w:p w14:paraId="5D94E68B" w14:textId="576FAAF7" w:rsidR="002F4D75" w:rsidRDefault="002F4D75" w:rsidP="004D17E2">
      <w:pPr>
        <w:pStyle w:val="ListParagraph"/>
        <w:numPr>
          <w:ilvl w:val="1"/>
          <w:numId w:val="2"/>
        </w:numPr>
        <w:tabs>
          <w:tab w:val="left" w:pos="810"/>
          <w:tab w:val="left" w:pos="1080"/>
          <w:tab w:val="left" w:pos="1440"/>
        </w:tabs>
        <w:spacing w:after="120"/>
        <w:ind w:hanging="360"/>
      </w:pPr>
      <w:bookmarkStart w:id="12" w:name="SCA3a"/>
      <w:bookmarkEnd w:id="12"/>
      <w:r>
        <w:t xml:space="preserve">Either there must be no visible emissions to the outside air from any active waste disposal site where asbestos-containing waste material has been deposited, or the requirements of </w:t>
      </w:r>
      <w:hyperlink w:anchor="SCA3c" w:tooltip=" " w:history="1">
        <w:r w:rsidRPr="00B9145E">
          <w:rPr>
            <w:rStyle w:val="Hyperlink"/>
            <w:b/>
            <w:color w:val="auto"/>
            <w:u w:val="none"/>
          </w:rPr>
          <w:t xml:space="preserve">paragraph </w:t>
        </w:r>
        <w:r w:rsidR="00B9145E" w:rsidRPr="00B9145E">
          <w:rPr>
            <w:rStyle w:val="Hyperlink"/>
            <w:b/>
            <w:color w:val="auto"/>
            <w:u w:val="none"/>
          </w:rPr>
          <w:t>c.</w:t>
        </w:r>
      </w:hyperlink>
      <w:r w:rsidR="00B9145E">
        <w:t xml:space="preserve"> </w:t>
      </w:r>
      <w:r w:rsidRPr="00D155D9">
        <w:t>or</w:t>
      </w:r>
      <w:r w:rsidRPr="00B9145E">
        <w:t xml:space="preserve"> </w:t>
      </w:r>
      <w:hyperlink w:anchor="SCA3d" w:tooltip=" " w:history="1">
        <w:r w:rsidR="00B9145E" w:rsidRPr="00B9145E">
          <w:rPr>
            <w:rStyle w:val="Hyperlink"/>
            <w:b/>
            <w:color w:val="auto"/>
            <w:u w:val="none"/>
          </w:rPr>
          <w:t>d.</w:t>
        </w:r>
      </w:hyperlink>
      <w:r>
        <w:t xml:space="preserve"> of this condition must be met.</w:t>
      </w:r>
    </w:p>
    <w:p w14:paraId="27E0079F" w14:textId="3A507706" w:rsidR="002F4D75" w:rsidRDefault="0037214F" w:rsidP="004D17E2">
      <w:pPr>
        <w:pStyle w:val="ListParagraph"/>
        <w:numPr>
          <w:ilvl w:val="1"/>
          <w:numId w:val="2"/>
        </w:numPr>
        <w:tabs>
          <w:tab w:val="left" w:pos="810"/>
          <w:tab w:val="left" w:pos="1080"/>
          <w:tab w:val="left" w:pos="1440"/>
        </w:tabs>
        <w:spacing w:after="120"/>
        <w:ind w:hanging="360"/>
      </w:pPr>
      <w:r>
        <w:t xml:space="preserve">Unless a natural barrier adequately deters access by the general public, either warning signs and fencing must be installed and maintained as follows, or the requirements of </w:t>
      </w:r>
      <w:hyperlink w:anchor="SCA3c1" w:tooltip=" " w:history="1">
        <w:r w:rsidRPr="00B9145E">
          <w:rPr>
            <w:rStyle w:val="Hyperlink"/>
            <w:b/>
            <w:color w:val="auto"/>
            <w:u w:val="none"/>
          </w:rPr>
          <w:t>paragraph c</w:t>
        </w:r>
        <w:r w:rsidR="00B9145E" w:rsidRPr="00B9145E">
          <w:rPr>
            <w:rStyle w:val="Hyperlink"/>
            <w:b/>
            <w:color w:val="auto"/>
            <w:u w:val="none"/>
          </w:rPr>
          <w:t>(1)</w:t>
        </w:r>
      </w:hyperlink>
      <w:r>
        <w:t xml:space="preserve"> of this condition must be met.  </w:t>
      </w:r>
    </w:p>
    <w:p w14:paraId="19A87529" w14:textId="749814F9" w:rsidR="0037214F" w:rsidRDefault="0037214F" w:rsidP="004D17E2">
      <w:pPr>
        <w:pStyle w:val="ListParagraph"/>
        <w:numPr>
          <w:ilvl w:val="3"/>
          <w:numId w:val="2"/>
        </w:numPr>
        <w:tabs>
          <w:tab w:val="left" w:pos="720"/>
          <w:tab w:val="left" w:pos="1080"/>
          <w:tab w:val="left" w:pos="1440"/>
        </w:tabs>
        <w:spacing w:after="120"/>
        <w:ind w:left="1080"/>
      </w:pPr>
      <w:r>
        <w:t>Warning signs must be displayed at all entrances and at intervals of 100 m (330 ft) or less along the property line of the site or along the perimeter of the sections of the site where asbestos-containing waste material is deposited.  The warning signs must:</w:t>
      </w:r>
    </w:p>
    <w:p w14:paraId="09697D6F" w14:textId="65BBD0D5" w:rsidR="0037214F" w:rsidRDefault="0037214F" w:rsidP="004D17E2">
      <w:pPr>
        <w:pStyle w:val="ListParagraph"/>
        <w:numPr>
          <w:ilvl w:val="4"/>
          <w:numId w:val="2"/>
        </w:numPr>
        <w:tabs>
          <w:tab w:val="left" w:pos="810"/>
          <w:tab w:val="left" w:pos="1080"/>
          <w:tab w:val="left" w:pos="1440"/>
        </w:tabs>
        <w:spacing w:after="120"/>
        <w:ind w:left="1440"/>
      </w:pPr>
      <w:r>
        <w:t>Be posted in such a manner and location that a person can easily read the legend, and</w:t>
      </w:r>
    </w:p>
    <w:p w14:paraId="0E82060E" w14:textId="77777777" w:rsidR="0037214F" w:rsidRDefault="0037214F" w:rsidP="004D17E2">
      <w:pPr>
        <w:pStyle w:val="ListParagraph"/>
        <w:numPr>
          <w:ilvl w:val="4"/>
          <w:numId w:val="2"/>
        </w:numPr>
        <w:tabs>
          <w:tab w:val="left" w:pos="810"/>
          <w:tab w:val="left" w:pos="1080"/>
          <w:tab w:val="left" w:pos="1440"/>
        </w:tabs>
        <w:ind w:left="1440"/>
      </w:pPr>
      <w:r>
        <w:t xml:space="preserve">Conform to the requirements of 51 cm × 36 cm (20 inch×14 inch) upright format signs specified in </w:t>
      </w:r>
      <w:r>
        <w:rPr>
          <w:b/>
        </w:rPr>
        <w:t>29 CFR 1910.145(d)(4)</w:t>
      </w:r>
      <w:r>
        <w:t xml:space="preserve"> and this paragraph; and  </w:t>
      </w:r>
    </w:p>
    <w:p w14:paraId="2D2EFCE3" w14:textId="564DF8D3" w:rsidR="0037214F" w:rsidRPr="0037214F" w:rsidRDefault="0037214F" w:rsidP="0037214F">
      <w:pPr>
        <w:tabs>
          <w:tab w:val="left" w:pos="810"/>
          <w:tab w:val="left" w:pos="1080"/>
          <w:tab w:val="left" w:pos="1440"/>
        </w:tabs>
        <w:ind w:left="1440"/>
        <w:rPr>
          <w:szCs w:val="22"/>
        </w:rPr>
      </w:pPr>
      <w:r>
        <w:t xml:space="preserve">[Note:  </w:t>
      </w:r>
      <w:r>
        <w:rPr>
          <w:szCs w:val="22"/>
        </w:rPr>
        <w:t xml:space="preserve">29 CFR 1910.145(d)(4) </w:t>
      </w:r>
      <w:r>
        <w:rPr>
          <w:i/>
          <w:iCs/>
          <w:szCs w:val="22"/>
        </w:rPr>
        <w:t>Caution signs</w:t>
      </w:r>
      <w:r>
        <w:rPr>
          <w:iCs/>
          <w:szCs w:val="22"/>
        </w:rPr>
        <w:t>.</w:t>
      </w:r>
      <w:r>
        <w:rPr>
          <w:szCs w:val="22"/>
        </w:rPr>
        <w:t xml:space="preserve">  The standard color of the background shall be yellow; and the panel, black with yellow letters.  Any letters used against the yellow background shall be black. The colors shall be those of opaque glossy samples as specified in Table 1 of ANSI Z53.1-1967 or Table 1 of ANSI Z535.1-2006(R2011), incorporated by reference in 29 CFR 1910.6.  </w:t>
      </w:r>
      <w:hyperlink r:id="rId37" w:tooltip=" " w:history="1">
        <w:r>
          <w:rPr>
            <w:rStyle w:val="Hyperlink"/>
            <w:szCs w:val="22"/>
          </w:rPr>
          <w:t>Link to 29 CFR 1910.145</w:t>
        </w:r>
      </w:hyperlink>
      <w:r>
        <w:rPr>
          <w:szCs w:val="22"/>
        </w:rPr>
        <w:t>]</w:t>
      </w:r>
    </w:p>
    <w:p w14:paraId="5E8888D9" w14:textId="125EEB10" w:rsidR="0037214F" w:rsidRDefault="0037214F" w:rsidP="004D17E2">
      <w:pPr>
        <w:pStyle w:val="ListParagraph"/>
        <w:numPr>
          <w:ilvl w:val="4"/>
          <w:numId w:val="2"/>
        </w:numPr>
        <w:tabs>
          <w:tab w:val="left" w:pos="810"/>
          <w:tab w:val="left" w:pos="1080"/>
          <w:tab w:val="left" w:pos="1440"/>
        </w:tabs>
        <w:ind w:left="1440"/>
      </w:pPr>
      <w:r>
        <w:t>Display the following legend in the lower panel with letter sizes and styles of a visibility at least equal to those specified in this paragraph.</w:t>
      </w:r>
    </w:p>
    <w:p w14:paraId="0C194444" w14:textId="4623B5DB" w:rsidR="001D2746" w:rsidRDefault="001D2746" w:rsidP="001D2746">
      <w:pPr>
        <w:pStyle w:val="ListParagraph"/>
        <w:tabs>
          <w:tab w:val="left" w:pos="810"/>
          <w:tab w:val="left" w:pos="1080"/>
          <w:tab w:val="left" w:pos="1440"/>
        </w:tabs>
        <w:ind w:left="1440"/>
      </w:pPr>
    </w:p>
    <w:tbl>
      <w:tblPr>
        <w:tblW w:w="4336" w:type="pct"/>
        <w:tblInd w:w="14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120" w:type="dxa"/>
          <w:left w:w="13" w:type="dxa"/>
          <w:bottom w:w="13" w:type="dxa"/>
          <w:right w:w="13" w:type="dxa"/>
        </w:tblCellMar>
        <w:tblLook w:val="04A0" w:firstRow="1" w:lastRow="0" w:firstColumn="1" w:lastColumn="0" w:noHBand="0" w:noVBand="1"/>
      </w:tblPr>
      <w:tblGrid>
        <w:gridCol w:w="4419"/>
        <w:gridCol w:w="4296"/>
      </w:tblGrid>
      <w:tr w:rsidR="0037214F" w14:paraId="0EDC3AA8" w14:textId="77777777" w:rsidTr="0037214F">
        <w:tc>
          <w:tcPr>
            <w:tcW w:w="2535" w:type="pct"/>
            <w:tcBorders>
              <w:top w:val="single" w:sz="12" w:space="0" w:color="000000"/>
              <w:left w:val="single" w:sz="12" w:space="0" w:color="000000"/>
              <w:bottom w:val="single" w:sz="12" w:space="0" w:color="000000"/>
              <w:right w:val="single" w:sz="6" w:space="0" w:color="000000"/>
            </w:tcBorders>
            <w:vAlign w:val="bottom"/>
            <w:hideMark/>
          </w:tcPr>
          <w:p w14:paraId="6D7BE608" w14:textId="77777777" w:rsidR="0037214F" w:rsidRDefault="0037214F">
            <w:pPr>
              <w:jc w:val="center"/>
              <w:rPr>
                <w:b/>
                <w:bCs/>
                <w:szCs w:val="22"/>
              </w:rPr>
            </w:pPr>
            <w:r>
              <w:rPr>
                <w:b/>
                <w:bCs/>
                <w:szCs w:val="22"/>
              </w:rPr>
              <w:lastRenderedPageBreak/>
              <w:t>Legend</w:t>
            </w:r>
          </w:p>
        </w:tc>
        <w:tc>
          <w:tcPr>
            <w:tcW w:w="2465" w:type="pct"/>
            <w:tcBorders>
              <w:top w:val="single" w:sz="12" w:space="0" w:color="000000"/>
              <w:left w:val="single" w:sz="6" w:space="0" w:color="000000"/>
              <w:bottom w:val="single" w:sz="12" w:space="0" w:color="000000"/>
              <w:right w:val="single" w:sz="12" w:space="0" w:color="000000"/>
            </w:tcBorders>
            <w:vAlign w:val="bottom"/>
            <w:hideMark/>
          </w:tcPr>
          <w:p w14:paraId="45349F9E" w14:textId="77777777" w:rsidR="0037214F" w:rsidRDefault="0037214F">
            <w:pPr>
              <w:jc w:val="center"/>
              <w:rPr>
                <w:b/>
                <w:bCs/>
                <w:szCs w:val="22"/>
              </w:rPr>
            </w:pPr>
            <w:r>
              <w:rPr>
                <w:b/>
                <w:bCs/>
                <w:szCs w:val="22"/>
              </w:rPr>
              <w:t>Notation</w:t>
            </w:r>
          </w:p>
        </w:tc>
      </w:tr>
      <w:tr w:rsidR="0037214F" w14:paraId="18C02C9E" w14:textId="77777777" w:rsidTr="0037214F">
        <w:tc>
          <w:tcPr>
            <w:tcW w:w="2535" w:type="pct"/>
            <w:tcBorders>
              <w:top w:val="single" w:sz="12" w:space="0" w:color="000000"/>
              <w:left w:val="single" w:sz="12" w:space="0" w:color="000000"/>
              <w:bottom w:val="single" w:sz="6" w:space="0" w:color="000000"/>
              <w:right w:val="single" w:sz="6" w:space="0" w:color="000000"/>
            </w:tcBorders>
            <w:hideMark/>
          </w:tcPr>
          <w:p w14:paraId="31C2F2BC" w14:textId="77777777" w:rsidR="0037214F" w:rsidRDefault="0037214F">
            <w:pPr>
              <w:rPr>
                <w:szCs w:val="22"/>
              </w:rPr>
            </w:pPr>
            <w:r>
              <w:rPr>
                <w:szCs w:val="22"/>
              </w:rPr>
              <w:t>Asbestos Waste Disposal Site</w:t>
            </w:r>
          </w:p>
        </w:tc>
        <w:tc>
          <w:tcPr>
            <w:tcW w:w="2465" w:type="pct"/>
            <w:tcBorders>
              <w:top w:val="single" w:sz="12" w:space="0" w:color="000000"/>
              <w:left w:val="single" w:sz="6" w:space="0" w:color="000000"/>
              <w:bottom w:val="single" w:sz="6" w:space="0" w:color="000000"/>
              <w:right w:val="single" w:sz="12" w:space="0" w:color="000000"/>
            </w:tcBorders>
            <w:hideMark/>
          </w:tcPr>
          <w:p w14:paraId="1EE6D683" w14:textId="77777777" w:rsidR="0037214F" w:rsidRDefault="0037214F">
            <w:pPr>
              <w:rPr>
                <w:szCs w:val="22"/>
              </w:rPr>
            </w:pPr>
            <w:r>
              <w:rPr>
                <w:szCs w:val="22"/>
              </w:rPr>
              <w:t>2.5 cm (1 inch) Sans Serif, Gothic or Block.</w:t>
            </w:r>
          </w:p>
        </w:tc>
      </w:tr>
      <w:tr w:rsidR="0037214F" w14:paraId="487CB813" w14:textId="77777777" w:rsidTr="0037214F">
        <w:tc>
          <w:tcPr>
            <w:tcW w:w="2535" w:type="pct"/>
            <w:tcBorders>
              <w:top w:val="single" w:sz="6" w:space="0" w:color="000000"/>
              <w:left w:val="single" w:sz="12" w:space="0" w:color="000000"/>
              <w:bottom w:val="single" w:sz="6" w:space="0" w:color="000000"/>
              <w:right w:val="single" w:sz="6" w:space="0" w:color="000000"/>
            </w:tcBorders>
            <w:hideMark/>
          </w:tcPr>
          <w:p w14:paraId="1F7C78C0" w14:textId="77777777" w:rsidR="0037214F" w:rsidRDefault="0037214F">
            <w:pPr>
              <w:rPr>
                <w:szCs w:val="22"/>
              </w:rPr>
            </w:pPr>
            <w:r>
              <w:rPr>
                <w:szCs w:val="22"/>
              </w:rPr>
              <w:t>Do Not Create Dust</w:t>
            </w:r>
          </w:p>
        </w:tc>
        <w:tc>
          <w:tcPr>
            <w:tcW w:w="2465" w:type="pct"/>
            <w:tcBorders>
              <w:top w:val="single" w:sz="6" w:space="0" w:color="000000"/>
              <w:left w:val="single" w:sz="6" w:space="0" w:color="000000"/>
              <w:bottom w:val="single" w:sz="6" w:space="0" w:color="000000"/>
              <w:right w:val="single" w:sz="12" w:space="0" w:color="000000"/>
            </w:tcBorders>
            <w:hideMark/>
          </w:tcPr>
          <w:p w14:paraId="05311EF1" w14:textId="77777777" w:rsidR="0037214F" w:rsidRDefault="0037214F">
            <w:pPr>
              <w:rPr>
                <w:szCs w:val="22"/>
              </w:rPr>
            </w:pPr>
            <w:r>
              <w:rPr>
                <w:szCs w:val="22"/>
              </w:rPr>
              <w:t>1.9 cm (3/4 inch) Sans Serif, Gothic or Block.</w:t>
            </w:r>
          </w:p>
        </w:tc>
      </w:tr>
      <w:tr w:rsidR="0037214F" w14:paraId="0C8BA9A7" w14:textId="77777777" w:rsidTr="0037214F">
        <w:trPr>
          <w:trHeight w:val="279"/>
        </w:trPr>
        <w:tc>
          <w:tcPr>
            <w:tcW w:w="2535" w:type="pct"/>
            <w:tcBorders>
              <w:top w:val="single" w:sz="6" w:space="0" w:color="000000"/>
              <w:left w:val="single" w:sz="12" w:space="0" w:color="000000"/>
              <w:bottom w:val="single" w:sz="12" w:space="0" w:color="000000"/>
              <w:right w:val="single" w:sz="6" w:space="0" w:color="000000"/>
            </w:tcBorders>
            <w:hideMark/>
          </w:tcPr>
          <w:p w14:paraId="73AE9767" w14:textId="77777777" w:rsidR="0037214F" w:rsidRDefault="0037214F">
            <w:pPr>
              <w:rPr>
                <w:szCs w:val="22"/>
              </w:rPr>
            </w:pPr>
            <w:r>
              <w:rPr>
                <w:szCs w:val="22"/>
              </w:rPr>
              <w:t>Breathing Asbestos is Hazardous to Your Health</w:t>
            </w:r>
          </w:p>
        </w:tc>
        <w:tc>
          <w:tcPr>
            <w:tcW w:w="2465" w:type="pct"/>
            <w:tcBorders>
              <w:top w:val="single" w:sz="6" w:space="0" w:color="000000"/>
              <w:left w:val="single" w:sz="6" w:space="0" w:color="000000"/>
              <w:bottom w:val="single" w:sz="12" w:space="0" w:color="000000"/>
              <w:right w:val="single" w:sz="12" w:space="0" w:color="000000"/>
            </w:tcBorders>
            <w:hideMark/>
          </w:tcPr>
          <w:p w14:paraId="0BF336D8" w14:textId="77777777" w:rsidR="0037214F" w:rsidRDefault="0037214F">
            <w:pPr>
              <w:rPr>
                <w:szCs w:val="22"/>
              </w:rPr>
            </w:pPr>
            <w:r>
              <w:rPr>
                <w:szCs w:val="22"/>
              </w:rPr>
              <w:t>14 Point Gothic.</w:t>
            </w:r>
          </w:p>
        </w:tc>
      </w:tr>
    </w:tbl>
    <w:p w14:paraId="3AA209C5" w14:textId="13E84E35" w:rsidR="0037214F" w:rsidRDefault="0037214F" w:rsidP="0037214F">
      <w:pPr>
        <w:pStyle w:val="ListParagraph"/>
        <w:tabs>
          <w:tab w:val="left" w:pos="810"/>
          <w:tab w:val="left" w:pos="1080"/>
          <w:tab w:val="left" w:pos="1440"/>
        </w:tabs>
        <w:spacing w:before="120"/>
        <w:ind w:left="1440"/>
      </w:pPr>
      <w:r>
        <w:t xml:space="preserve">Spacing between any two lines must be at least equal to the height of the upper of the two lines.  </w:t>
      </w:r>
    </w:p>
    <w:p w14:paraId="520CF748" w14:textId="3937D6FC" w:rsidR="0037214F" w:rsidRDefault="007672B1" w:rsidP="004D17E2">
      <w:pPr>
        <w:pStyle w:val="ListParagraph"/>
        <w:numPr>
          <w:ilvl w:val="3"/>
          <w:numId w:val="2"/>
        </w:numPr>
        <w:tabs>
          <w:tab w:val="left" w:pos="810"/>
          <w:tab w:val="left" w:pos="1080"/>
          <w:tab w:val="left" w:pos="1440"/>
        </w:tabs>
        <w:spacing w:before="120"/>
        <w:ind w:left="1080"/>
      </w:pPr>
      <w:r>
        <w:t>The perimeter of the disposal site must be fenced in a manner adequate to deter access by the general public.</w:t>
      </w:r>
    </w:p>
    <w:p w14:paraId="2E3F607C" w14:textId="5B621E79" w:rsidR="007672B1" w:rsidRDefault="007672B1" w:rsidP="004D17E2">
      <w:pPr>
        <w:pStyle w:val="ListParagraph"/>
        <w:numPr>
          <w:ilvl w:val="3"/>
          <w:numId w:val="2"/>
        </w:numPr>
        <w:tabs>
          <w:tab w:val="left" w:pos="810"/>
          <w:tab w:val="left" w:pos="1080"/>
          <w:tab w:val="left" w:pos="1440"/>
        </w:tabs>
        <w:spacing w:before="120"/>
        <w:ind w:left="1080"/>
      </w:pPr>
      <w:r>
        <w:t>Upon request and supply of appropriate information, the Department will determine whether a fence or a natural barrier adequately deters access by the general public.</w:t>
      </w:r>
    </w:p>
    <w:p w14:paraId="5E37F773" w14:textId="59275248" w:rsidR="007672B1" w:rsidRDefault="007672B1" w:rsidP="004D17E2">
      <w:pPr>
        <w:pStyle w:val="ListParagraph"/>
        <w:numPr>
          <w:ilvl w:val="1"/>
          <w:numId w:val="2"/>
        </w:numPr>
        <w:tabs>
          <w:tab w:val="clear" w:pos="360"/>
          <w:tab w:val="left" w:pos="720"/>
          <w:tab w:val="left" w:pos="1080"/>
          <w:tab w:val="left" w:pos="1440"/>
        </w:tabs>
        <w:spacing w:before="120"/>
        <w:ind w:hanging="360"/>
      </w:pPr>
      <w:bookmarkStart w:id="13" w:name="SCA3c"/>
      <w:bookmarkEnd w:id="13"/>
      <w:r>
        <w:t xml:space="preserve">Rather than meet the no visible emission requirement of </w:t>
      </w:r>
      <w:hyperlink w:anchor="SCA3a" w:tooltip=" " w:history="1">
        <w:r w:rsidRPr="00927E4B">
          <w:rPr>
            <w:rStyle w:val="Hyperlink"/>
            <w:b/>
            <w:color w:val="auto"/>
            <w:u w:val="none"/>
          </w:rPr>
          <w:t>paragraph</w:t>
        </w:r>
        <w:r w:rsidR="00927E4B" w:rsidRPr="00927E4B">
          <w:rPr>
            <w:rStyle w:val="Hyperlink"/>
            <w:b/>
            <w:color w:val="auto"/>
            <w:u w:val="none"/>
          </w:rPr>
          <w:t xml:space="preserve"> a.</w:t>
        </w:r>
      </w:hyperlink>
      <w:r>
        <w:t xml:space="preserve"> of this condition, at the end of each operating day, or at least once every 24-hour period while the site is in continuous operation, the asbestos-containing waste material that has been deposited at the site during the operating day or previous 24-hour period shall:</w:t>
      </w:r>
    </w:p>
    <w:p w14:paraId="01270C32" w14:textId="2207B6F4" w:rsidR="007672B1" w:rsidRDefault="007672B1" w:rsidP="004D17E2">
      <w:pPr>
        <w:pStyle w:val="ListParagraph"/>
        <w:numPr>
          <w:ilvl w:val="3"/>
          <w:numId w:val="2"/>
        </w:numPr>
        <w:tabs>
          <w:tab w:val="left" w:pos="1080"/>
          <w:tab w:val="left" w:pos="1440"/>
        </w:tabs>
        <w:spacing w:before="120"/>
        <w:ind w:left="1080"/>
      </w:pPr>
      <w:bookmarkStart w:id="14" w:name="SCA3c1"/>
      <w:bookmarkEnd w:id="14"/>
      <w:r>
        <w:t>Be covered with at least 15 centimeters (6 inches) of compacted non-asbestos-containing material, or</w:t>
      </w:r>
    </w:p>
    <w:p w14:paraId="4EBBFB00" w14:textId="42EEFE1D" w:rsidR="007672B1" w:rsidRDefault="007672B1" w:rsidP="004D17E2">
      <w:pPr>
        <w:pStyle w:val="ListParagraph"/>
        <w:numPr>
          <w:ilvl w:val="3"/>
          <w:numId w:val="2"/>
        </w:numPr>
        <w:tabs>
          <w:tab w:val="left" w:pos="720"/>
          <w:tab w:val="left" w:pos="1080"/>
          <w:tab w:val="left" w:pos="1440"/>
        </w:tabs>
        <w:spacing w:before="120"/>
        <w:ind w:left="1080"/>
      </w:pPr>
      <w:r>
        <w:t>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w:t>
      </w:r>
    </w:p>
    <w:p w14:paraId="64B44DA9" w14:textId="32D4C4C8" w:rsidR="007672B1" w:rsidRPr="00400E6C" w:rsidRDefault="00400E6C" w:rsidP="004D17E2">
      <w:pPr>
        <w:pStyle w:val="ListParagraph"/>
        <w:numPr>
          <w:ilvl w:val="0"/>
          <w:numId w:val="5"/>
        </w:numPr>
        <w:tabs>
          <w:tab w:val="left" w:pos="720"/>
          <w:tab w:val="left" w:pos="1440"/>
        </w:tabs>
        <w:spacing w:before="120"/>
        <w:ind w:left="720"/>
      </w:pPr>
      <w:bookmarkStart w:id="15" w:name="SCA3d"/>
      <w:bookmarkEnd w:id="15"/>
      <w:r>
        <w:t xml:space="preserve">Rather than meet the no visible emission requirement of </w:t>
      </w:r>
      <w:hyperlink w:anchor="SCA3a" w:tooltip=" " w:history="1">
        <w:r w:rsidRPr="00927E4B">
          <w:rPr>
            <w:rStyle w:val="Hyperlink"/>
            <w:b/>
            <w:color w:val="auto"/>
            <w:u w:val="none"/>
          </w:rPr>
          <w:t xml:space="preserve">paragraph </w:t>
        </w:r>
        <w:r w:rsidR="00927E4B" w:rsidRPr="00927E4B">
          <w:rPr>
            <w:rStyle w:val="Hyperlink"/>
            <w:b/>
            <w:color w:val="auto"/>
            <w:u w:val="none"/>
          </w:rPr>
          <w:t>a.</w:t>
        </w:r>
      </w:hyperlink>
      <w:r w:rsidR="00927E4B">
        <w:t xml:space="preserve"> </w:t>
      </w:r>
      <w:r>
        <w:t xml:space="preserve">of this condition, use an alternative emissions control method </w:t>
      </w:r>
      <w:r>
        <w:rPr>
          <w:szCs w:val="22"/>
        </w:rPr>
        <w:t>that has received prior written approval by the Administrator.  As prescribed by 40 CFR 61.149(c)(2), to obtain approval for an alternative method, a written application must be submitted to the Administrator demonstrating that the following criteria are met:</w:t>
      </w:r>
    </w:p>
    <w:p w14:paraId="4FE8C47B" w14:textId="37184BB4" w:rsidR="00400E6C" w:rsidRPr="00400E6C" w:rsidRDefault="00400E6C" w:rsidP="004D17E2">
      <w:pPr>
        <w:pStyle w:val="ListParagraph"/>
        <w:numPr>
          <w:ilvl w:val="0"/>
          <w:numId w:val="6"/>
        </w:numPr>
        <w:tabs>
          <w:tab w:val="left" w:pos="720"/>
          <w:tab w:val="left" w:pos="1440"/>
        </w:tabs>
        <w:spacing w:before="120"/>
      </w:pPr>
      <w:r>
        <w:rPr>
          <w:szCs w:val="22"/>
        </w:rPr>
        <w:t>The alternative method will control asbestos emissions equivalent to currently required methods.</w:t>
      </w:r>
    </w:p>
    <w:p w14:paraId="3A1D1C92" w14:textId="154A9BBC" w:rsidR="00400E6C" w:rsidRPr="00400E6C" w:rsidRDefault="00400E6C" w:rsidP="004D17E2">
      <w:pPr>
        <w:pStyle w:val="ListParagraph"/>
        <w:numPr>
          <w:ilvl w:val="0"/>
          <w:numId w:val="6"/>
        </w:numPr>
        <w:tabs>
          <w:tab w:val="left" w:pos="720"/>
          <w:tab w:val="left" w:pos="1440"/>
        </w:tabs>
        <w:spacing w:before="120"/>
      </w:pPr>
      <w:r>
        <w:rPr>
          <w:szCs w:val="22"/>
        </w:rPr>
        <w:t>The suitability of the alternative method for the intended application.</w:t>
      </w:r>
    </w:p>
    <w:p w14:paraId="6A4525EE" w14:textId="48A928DC" w:rsidR="00400E6C" w:rsidRPr="00400E6C" w:rsidRDefault="00400E6C" w:rsidP="004D17E2">
      <w:pPr>
        <w:pStyle w:val="ListParagraph"/>
        <w:numPr>
          <w:ilvl w:val="0"/>
          <w:numId w:val="6"/>
        </w:numPr>
        <w:tabs>
          <w:tab w:val="left" w:pos="720"/>
          <w:tab w:val="left" w:pos="1440"/>
        </w:tabs>
        <w:spacing w:before="120"/>
      </w:pPr>
      <w:r>
        <w:rPr>
          <w:szCs w:val="22"/>
        </w:rPr>
        <w:t>The alternative method will not violate other regulations.</w:t>
      </w:r>
    </w:p>
    <w:p w14:paraId="1C9168C0" w14:textId="3B3C4CE6" w:rsidR="00400E6C" w:rsidRPr="00827E82" w:rsidRDefault="00400E6C" w:rsidP="004D17E2">
      <w:pPr>
        <w:pStyle w:val="ListParagraph"/>
        <w:numPr>
          <w:ilvl w:val="0"/>
          <w:numId w:val="6"/>
        </w:numPr>
        <w:tabs>
          <w:tab w:val="left" w:pos="720"/>
          <w:tab w:val="left" w:pos="1440"/>
        </w:tabs>
        <w:spacing w:before="120"/>
      </w:pPr>
      <w:r>
        <w:rPr>
          <w:szCs w:val="22"/>
        </w:rPr>
        <w:t>The alternative method will not result in increased water pollution, land pollution, or occupational hazards.</w:t>
      </w:r>
    </w:p>
    <w:p w14:paraId="135EDCC3" w14:textId="3CC6EBD5" w:rsidR="00827E82" w:rsidRDefault="00827E82" w:rsidP="004D17E2">
      <w:pPr>
        <w:pStyle w:val="ListParagraph"/>
        <w:numPr>
          <w:ilvl w:val="0"/>
          <w:numId w:val="5"/>
        </w:numPr>
        <w:tabs>
          <w:tab w:val="left" w:pos="720"/>
          <w:tab w:val="left" w:pos="1440"/>
        </w:tabs>
        <w:ind w:left="720"/>
      </w:pPr>
      <w:bookmarkStart w:id="16" w:name="SCA3e"/>
      <w:bookmarkEnd w:id="16"/>
      <w:r>
        <w:t>For all asbestos-containing waste material received, the owner or operator shall:</w:t>
      </w:r>
    </w:p>
    <w:p w14:paraId="36521C93" w14:textId="5AF6EC62" w:rsidR="00827E82" w:rsidRDefault="0068466D" w:rsidP="004D17E2">
      <w:pPr>
        <w:pStyle w:val="ListParagraph"/>
        <w:numPr>
          <w:ilvl w:val="0"/>
          <w:numId w:val="7"/>
        </w:numPr>
        <w:tabs>
          <w:tab w:val="left" w:pos="720"/>
          <w:tab w:val="left" w:pos="1440"/>
        </w:tabs>
      </w:pPr>
      <w:r>
        <w:t>Maintain waste shipment records, using a form similar to that shown in Figure 4 of 40 CFR 61.149 [</w:t>
      </w:r>
      <w:hyperlink r:id="rId38" w:anchor="40:9.0.1.1.1.13.1.10" w:tooltip=" " w:history="1">
        <w:r>
          <w:rPr>
            <w:rStyle w:val="Hyperlink"/>
          </w:rPr>
          <w:t>Link to 40 CFR 61.149</w:t>
        </w:r>
      </w:hyperlink>
      <w:r>
        <w:t>], and include the following information:</w:t>
      </w:r>
    </w:p>
    <w:p w14:paraId="3C35C87F" w14:textId="18CA23C4" w:rsidR="0068466D" w:rsidRDefault="0068466D" w:rsidP="004D17E2">
      <w:pPr>
        <w:pStyle w:val="ListParagraph"/>
        <w:numPr>
          <w:ilvl w:val="4"/>
          <w:numId w:val="2"/>
        </w:numPr>
        <w:tabs>
          <w:tab w:val="left" w:pos="720"/>
          <w:tab w:val="left" w:pos="1440"/>
        </w:tabs>
        <w:ind w:left="1440"/>
      </w:pPr>
      <w:r>
        <w:t>The name, address and telephone number of the waste generator.</w:t>
      </w:r>
    </w:p>
    <w:p w14:paraId="1DCAC363" w14:textId="4142BC1E" w:rsidR="0068466D" w:rsidRDefault="0068466D" w:rsidP="004D17E2">
      <w:pPr>
        <w:pStyle w:val="ListParagraph"/>
        <w:numPr>
          <w:ilvl w:val="4"/>
          <w:numId w:val="2"/>
        </w:numPr>
        <w:tabs>
          <w:tab w:val="left" w:pos="720"/>
          <w:tab w:val="left" w:pos="1440"/>
        </w:tabs>
        <w:ind w:left="1440"/>
      </w:pPr>
      <w:r>
        <w:t>The name, address and telephone number of the transporter(s).</w:t>
      </w:r>
    </w:p>
    <w:p w14:paraId="38379DFF" w14:textId="7B8D1FC0" w:rsidR="0068466D" w:rsidRDefault="0068466D" w:rsidP="004D17E2">
      <w:pPr>
        <w:pStyle w:val="ListParagraph"/>
        <w:numPr>
          <w:ilvl w:val="4"/>
          <w:numId w:val="2"/>
        </w:numPr>
        <w:tabs>
          <w:tab w:val="left" w:pos="720"/>
          <w:tab w:val="left" w:pos="1440"/>
        </w:tabs>
        <w:ind w:left="1440"/>
      </w:pPr>
      <w:r>
        <w:t>The quantity of the asbestos-containing waste material in cubic meters (cubic yards).</w:t>
      </w:r>
    </w:p>
    <w:p w14:paraId="700813D0" w14:textId="2D016E2A" w:rsidR="0068466D" w:rsidRDefault="0068466D" w:rsidP="004D17E2">
      <w:pPr>
        <w:pStyle w:val="ListParagraph"/>
        <w:numPr>
          <w:ilvl w:val="4"/>
          <w:numId w:val="2"/>
        </w:numPr>
        <w:tabs>
          <w:tab w:val="left" w:pos="720"/>
          <w:tab w:val="left" w:pos="1440"/>
        </w:tabs>
        <w:ind w:left="1440"/>
      </w:pPr>
      <w:r>
        <w:t>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w:t>
      </w:r>
    </w:p>
    <w:p w14:paraId="1D99EA46" w14:textId="1325193B" w:rsidR="003633A7" w:rsidRDefault="003633A7" w:rsidP="004D17E2">
      <w:pPr>
        <w:pStyle w:val="ListParagraph"/>
        <w:numPr>
          <w:ilvl w:val="4"/>
          <w:numId w:val="2"/>
        </w:numPr>
        <w:tabs>
          <w:tab w:val="left" w:pos="720"/>
          <w:tab w:val="left" w:pos="1440"/>
        </w:tabs>
        <w:ind w:left="1440"/>
      </w:pPr>
      <w:r>
        <w:t>The date of the receipt.</w:t>
      </w:r>
    </w:p>
    <w:p w14:paraId="1145B9C3" w14:textId="5A2C2B20" w:rsidR="003633A7" w:rsidRDefault="003633A7" w:rsidP="004D17E2">
      <w:pPr>
        <w:pStyle w:val="ListParagraph"/>
        <w:numPr>
          <w:ilvl w:val="0"/>
          <w:numId w:val="7"/>
        </w:numPr>
        <w:tabs>
          <w:tab w:val="left" w:pos="720"/>
          <w:tab w:val="left" w:pos="1440"/>
        </w:tabs>
      </w:pPr>
      <w:r>
        <w:t>As soon as possible and no longer than 30 days after receipt of the waste, send a copy of the signed waste shipment record to the waste generator.</w:t>
      </w:r>
    </w:p>
    <w:p w14:paraId="6B7F60B6" w14:textId="06F3F9CB" w:rsidR="003633A7" w:rsidRDefault="003633A7" w:rsidP="004D17E2">
      <w:pPr>
        <w:pStyle w:val="ListParagraph"/>
        <w:numPr>
          <w:ilvl w:val="0"/>
          <w:numId w:val="7"/>
        </w:numPr>
        <w:tabs>
          <w:tab w:val="left" w:pos="720"/>
          <w:tab w:val="left" w:pos="1440"/>
        </w:tabs>
      </w:pPr>
      <w:r>
        <w:lastRenderedPageBreak/>
        <w:t>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w:t>
      </w:r>
    </w:p>
    <w:p w14:paraId="58C28503" w14:textId="6B4E38E1" w:rsidR="003633A7" w:rsidRDefault="003633A7" w:rsidP="004D17E2">
      <w:pPr>
        <w:pStyle w:val="ListParagraph"/>
        <w:numPr>
          <w:ilvl w:val="0"/>
          <w:numId w:val="7"/>
        </w:numPr>
        <w:tabs>
          <w:tab w:val="left" w:pos="720"/>
          <w:tab w:val="left" w:pos="1440"/>
        </w:tabs>
      </w:pPr>
      <w:r>
        <w:t>Retain a copy of all records and reports required by this paragraph for at least 5 years.</w:t>
      </w:r>
    </w:p>
    <w:p w14:paraId="380CD13C" w14:textId="2411B8FC" w:rsidR="00902036" w:rsidRDefault="00902036" w:rsidP="004D17E2">
      <w:pPr>
        <w:pStyle w:val="ListParagraph"/>
        <w:numPr>
          <w:ilvl w:val="0"/>
          <w:numId w:val="5"/>
        </w:numPr>
        <w:tabs>
          <w:tab w:val="left" w:pos="720"/>
          <w:tab w:val="left" w:pos="1440"/>
        </w:tabs>
        <w:ind w:left="720"/>
      </w:pPr>
      <w:bookmarkStart w:id="17" w:name="SCA3f"/>
      <w:bookmarkEnd w:id="17"/>
      <w:r>
        <w:t>Maintain, until closure, records of the location, depth and area, and quantity in cubic meters (cubic yards) of asbestos-containing waste material within the disposal site on a map or diagram of the disposal area.</w:t>
      </w:r>
    </w:p>
    <w:p w14:paraId="56F266A0" w14:textId="7A793E1E" w:rsidR="00902036" w:rsidRDefault="00902036" w:rsidP="004D17E2">
      <w:pPr>
        <w:pStyle w:val="ListParagraph"/>
        <w:numPr>
          <w:ilvl w:val="0"/>
          <w:numId w:val="5"/>
        </w:numPr>
        <w:tabs>
          <w:tab w:val="left" w:pos="720"/>
          <w:tab w:val="left" w:pos="1440"/>
        </w:tabs>
        <w:ind w:left="720"/>
      </w:pPr>
      <w:r>
        <w:t xml:space="preserve">Upon closure, comply with all the provisions of 40 CFR 61.151   </w:t>
      </w:r>
      <w:hyperlink r:id="rId39" w:anchor="se40.9.61_1151" w:tooltip=" " w:history="1">
        <w:r>
          <w:rPr>
            <w:rStyle w:val="Hyperlink"/>
            <w:szCs w:val="22"/>
          </w:rPr>
          <w:t>Link to 40 CFR 61.151</w:t>
        </w:r>
      </w:hyperlink>
      <w:r>
        <w:t>.</w:t>
      </w:r>
    </w:p>
    <w:p w14:paraId="3A8413FE" w14:textId="1DAC2ECC" w:rsidR="00902036" w:rsidRDefault="00902036" w:rsidP="004D17E2">
      <w:pPr>
        <w:pStyle w:val="ListParagraph"/>
        <w:numPr>
          <w:ilvl w:val="0"/>
          <w:numId w:val="5"/>
        </w:numPr>
        <w:tabs>
          <w:tab w:val="left" w:pos="720"/>
          <w:tab w:val="left" w:pos="1440"/>
        </w:tabs>
        <w:ind w:left="720"/>
      </w:pPr>
      <w:r>
        <w:t>Submit to the Department, upon closure of the facility, a copy of records of asbestos waste disposal locations and quantities.</w:t>
      </w:r>
    </w:p>
    <w:p w14:paraId="718C0D57" w14:textId="76BD01B2" w:rsidR="00902036" w:rsidRDefault="00902036" w:rsidP="004D17E2">
      <w:pPr>
        <w:pStyle w:val="ListParagraph"/>
        <w:numPr>
          <w:ilvl w:val="0"/>
          <w:numId w:val="5"/>
        </w:numPr>
        <w:tabs>
          <w:tab w:val="left" w:pos="720"/>
          <w:tab w:val="left" w:pos="1440"/>
        </w:tabs>
        <w:ind w:left="720"/>
      </w:pPr>
      <w:r>
        <w:t>Furnish upon request, and make available during normal business hours for inspection by the Department, all records required under this permit.</w:t>
      </w:r>
    </w:p>
    <w:p w14:paraId="4BF71149" w14:textId="6B49403E" w:rsidR="00902036" w:rsidRDefault="00902036" w:rsidP="004D17E2">
      <w:pPr>
        <w:pStyle w:val="ListParagraph"/>
        <w:numPr>
          <w:ilvl w:val="0"/>
          <w:numId w:val="5"/>
        </w:numPr>
        <w:tabs>
          <w:tab w:val="left" w:pos="360"/>
          <w:tab w:val="left" w:pos="720"/>
          <w:tab w:val="left" w:pos="1440"/>
        </w:tabs>
        <w:ind w:left="720"/>
      </w:pPr>
      <w:r>
        <w:t>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ten working days before excavation begins and in no event shall excavation begin earlier than the date specified in the original notification.  Include the following information in the notice:</w:t>
      </w:r>
    </w:p>
    <w:p w14:paraId="74327824" w14:textId="431BD70F" w:rsidR="00902036" w:rsidRDefault="00902036" w:rsidP="004D17E2">
      <w:pPr>
        <w:pStyle w:val="ListParagraph"/>
        <w:numPr>
          <w:ilvl w:val="0"/>
          <w:numId w:val="8"/>
        </w:numPr>
        <w:tabs>
          <w:tab w:val="left" w:pos="720"/>
          <w:tab w:val="left" w:pos="1440"/>
        </w:tabs>
      </w:pPr>
      <w:r>
        <w:t>Scheduled starting and completion dates.</w:t>
      </w:r>
    </w:p>
    <w:p w14:paraId="1E1632CB" w14:textId="70D38477" w:rsidR="00902036" w:rsidRDefault="00902036" w:rsidP="004D17E2">
      <w:pPr>
        <w:pStyle w:val="ListParagraph"/>
        <w:numPr>
          <w:ilvl w:val="0"/>
          <w:numId w:val="8"/>
        </w:numPr>
        <w:tabs>
          <w:tab w:val="left" w:pos="720"/>
          <w:tab w:val="left" w:pos="1440"/>
        </w:tabs>
      </w:pPr>
      <w:r>
        <w:t>Reason for disturbing the waste.</w:t>
      </w:r>
    </w:p>
    <w:p w14:paraId="7D8DC35C" w14:textId="66B6E7CE" w:rsidR="00902036" w:rsidRDefault="00902036" w:rsidP="004D17E2">
      <w:pPr>
        <w:pStyle w:val="ListParagraph"/>
        <w:numPr>
          <w:ilvl w:val="0"/>
          <w:numId w:val="8"/>
        </w:numPr>
        <w:tabs>
          <w:tab w:val="left" w:pos="720"/>
          <w:tab w:val="left" w:pos="1440"/>
        </w:tabs>
      </w:pPr>
      <w:r>
        <w:t>Procedures to be used to control emissions during the excavation, storage, transport, and ultimate disposal of the excavated asbestos-containing waste material.  If deemed necessary, the Administrator may require changes in the emission control procedures to be used.</w:t>
      </w:r>
    </w:p>
    <w:p w14:paraId="11E7B523" w14:textId="3D3752C5" w:rsidR="00902036" w:rsidRDefault="00902036" w:rsidP="004D17E2">
      <w:pPr>
        <w:pStyle w:val="ListParagraph"/>
        <w:numPr>
          <w:ilvl w:val="0"/>
          <w:numId w:val="8"/>
        </w:numPr>
        <w:tabs>
          <w:tab w:val="left" w:pos="720"/>
          <w:tab w:val="left" w:pos="1440"/>
        </w:tabs>
      </w:pPr>
      <w:r>
        <w:t>Location of any temporary storage site and the final disposal site.</w:t>
      </w:r>
    </w:p>
    <w:p w14:paraId="0E6F200B" w14:textId="7AFC6461" w:rsidR="00902036" w:rsidRDefault="00902036" w:rsidP="00F868F8">
      <w:pPr>
        <w:tabs>
          <w:tab w:val="left" w:pos="360"/>
          <w:tab w:val="left" w:pos="720"/>
          <w:tab w:val="left" w:pos="1080"/>
          <w:tab w:val="left" w:pos="1440"/>
        </w:tabs>
        <w:spacing w:after="120"/>
        <w:ind w:left="360"/>
        <w:rPr>
          <w:szCs w:val="22"/>
        </w:rPr>
      </w:pPr>
      <w:r>
        <w:t>[</w:t>
      </w:r>
      <w:r w:rsidRPr="00902036">
        <w:rPr>
          <w:szCs w:val="22"/>
        </w:rPr>
        <w:t>29 CFR 1910.145(d)(4), 40 CFR 61.149(c)(2), and 40 CFR 61.154]</w:t>
      </w:r>
    </w:p>
    <w:p w14:paraId="3FA3D93F" w14:textId="2F58129F" w:rsidR="00F868F8" w:rsidRDefault="00630619" w:rsidP="00E67190">
      <w:pPr>
        <w:pStyle w:val="ListParagraph"/>
        <w:numPr>
          <w:ilvl w:val="0"/>
          <w:numId w:val="2"/>
        </w:numPr>
        <w:tabs>
          <w:tab w:val="left" w:pos="360"/>
          <w:tab w:val="left" w:pos="720"/>
          <w:tab w:val="left" w:pos="1440"/>
        </w:tabs>
        <w:spacing w:before="60" w:after="120"/>
        <w:ind w:left="360" w:hanging="360"/>
      </w:pPr>
      <w:bookmarkStart w:id="18" w:name="SCA4"/>
      <w:bookmarkStart w:id="19" w:name="_Ref473181584"/>
      <w:bookmarkEnd w:id="18"/>
      <w:r>
        <w:rPr>
          <w:u w:val="single"/>
        </w:rPr>
        <w:t>Collection and Control System Design Plan</w:t>
      </w:r>
      <w:r>
        <w:t xml:space="preserve">.  </w:t>
      </w:r>
      <w:r w:rsidR="00D87F92">
        <w:t xml:space="preserve">If </w:t>
      </w:r>
      <w:r>
        <w:t xml:space="preserve">a collection and control system that captures the gas generated within the landfill </w:t>
      </w:r>
      <w:r w:rsidR="00D87F92">
        <w:t xml:space="preserve">is </w:t>
      </w:r>
      <w:r>
        <w:t xml:space="preserve">required by </w:t>
      </w:r>
      <w:hyperlink w:anchor="SCA2b" w:tooltip=" " w:history="1">
        <w:r w:rsidRPr="00927E4B">
          <w:rPr>
            <w:rStyle w:val="Hyperlink"/>
            <w:b/>
            <w:color w:val="auto"/>
            <w:u w:val="none"/>
          </w:rPr>
          <w:t>Specific Condition A.2</w:t>
        </w:r>
        <w:r w:rsidR="00927E4B" w:rsidRPr="00927E4B">
          <w:rPr>
            <w:rStyle w:val="Hyperlink"/>
            <w:b/>
            <w:color w:val="auto"/>
            <w:u w:val="none"/>
          </w:rPr>
          <w:t>.</w:t>
        </w:r>
        <w:r w:rsidRPr="00927E4B">
          <w:rPr>
            <w:rStyle w:val="Hyperlink"/>
            <w:b/>
            <w:color w:val="auto"/>
            <w:u w:val="none"/>
          </w:rPr>
          <w:t>b</w:t>
        </w:r>
        <w:r w:rsidR="004322D1" w:rsidRPr="00927E4B">
          <w:rPr>
            <w:rStyle w:val="Hyperlink"/>
            <w:b/>
            <w:color w:val="auto"/>
            <w:u w:val="none"/>
          </w:rPr>
          <w:t>.</w:t>
        </w:r>
        <w:bookmarkEnd w:id="19"/>
      </w:hyperlink>
      <w:r w:rsidR="00D87F92" w:rsidRPr="00D87F92">
        <w:rPr>
          <w:rStyle w:val="Hyperlink"/>
          <w:color w:val="auto"/>
          <w:u w:val="none"/>
        </w:rPr>
        <w:t>, then it is subject to the following requirements.</w:t>
      </w:r>
    </w:p>
    <w:p w14:paraId="1029569C" w14:textId="6C1407D0" w:rsidR="004322D1" w:rsidRDefault="004322D1" w:rsidP="004D17E2">
      <w:pPr>
        <w:pStyle w:val="ListParagraph"/>
        <w:numPr>
          <w:ilvl w:val="0"/>
          <w:numId w:val="13"/>
        </w:numPr>
        <w:tabs>
          <w:tab w:val="left" w:pos="360"/>
          <w:tab w:val="left" w:pos="720"/>
          <w:tab w:val="left" w:pos="1440"/>
        </w:tabs>
        <w:spacing w:before="60" w:after="120"/>
        <w:ind w:left="720"/>
      </w:pPr>
      <w:r>
        <w:t>An active collection system must:</w:t>
      </w:r>
    </w:p>
    <w:p w14:paraId="577CAF0C" w14:textId="18F22D15" w:rsidR="004322D1" w:rsidRDefault="004322D1" w:rsidP="004D17E2">
      <w:pPr>
        <w:pStyle w:val="ListParagraph"/>
        <w:numPr>
          <w:ilvl w:val="0"/>
          <w:numId w:val="14"/>
        </w:numPr>
        <w:tabs>
          <w:tab w:val="left" w:pos="360"/>
          <w:tab w:val="left" w:pos="720"/>
        </w:tabs>
        <w:spacing w:before="60" w:after="120"/>
        <w:ind w:left="1080"/>
      </w:pPr>
      <w:bookmarkStart w:id="20" w:name="SCA4a1"/>
      <w:bookmarkEnd w:id="20"/>
      <w:r>
        <w:t>Be designed to handle the maximum expected gas flow rate from the entire area of the landfill that warrants control over the intended use period of the gas control system equipment;</w:t>
      </w:r>
    </w:p>
    <w:p w14:paraId="1DB834BB" w14:textId="09EBDCB1" w:rsidR="004322D1" w:rsidRDefault="004322D1" w:rsidP="004D17E2">
      <w:pPr>
        <w:pStyle w:val="ListParagraph"/>
        <w:numPr>
          <w:ilvl w:val="0"/>
          <w:numId w:val="14"/>
        </w:numPr>
        <w:tabs>
          <w:tab w:val="left" w:pos="360"/>
          <w:tab w:val="left" w:pos="720"/>
        </w:tabs>
        <w:spacing w:before="60" w:after="120"/>
        <w:ind w:left="1080"/>
      </w:pPr>
      <w:bookmarkStart w:id="21" w:name="SCA4a2"/>
      <w:bookmarkEnd w:id="21"/>
      <w:r>
        <w:t>Collect gas from each area, cell, or group of cells in the landfill in which the initial solid waste has been placed for a period of 5 years or more if active; or 2 years or more if closed or at final grade.</w:t>
      </w:r>
    </w:p>
    <w:p w14:paraId="387E2BB2" w14:textId="0863C0FE" w:rsidR="004322D1" w:rsidRDefault="004322D1" w:rsidP="004D17E2">
      <w:pPr>
        <w:pStyle w:val="ListParagraph"/>
        <w:numPr>
          <w:ilvl w:val="0"/>
          <w:numId w:val="14"/>
        </w:numPr>
        <w:tabs>
          <w:tab w:val="left" w:pos="360"/>
          <w:tab w:val="left" w:pos="720"/>
        </w:tabs>
        <w:spacing w:before="60" w:after="120"/>
        <w:ind w:left="1080"/>
      </w:pPr>
      <w:bookmarkStart w:id="22" w:name="SCA4a3"/>
      <w:bookmarkEnd w:id="22"/>
      <w:r>
        <w:t>Collect gas at a sufficient extraction rate;</w:t>
      </w:r>
    </w:p>
    <w:p w14:paraId="75EF78A8" w14:textId="0355B156" w:rsidR="004322D1" w:rsidRDefault="004322D1" w:rsidP="004D17E2">
      <w:pPr>
        <w:pStyle w:val="ListParagraph"/>
        <w:numPr>
          <w:ilvl w:val="0"/>
          <w:numId w:val="14"/>
        </w:numPr>
        <w:tabs>
          <w:tab w:val="left" w:pos="360"/>
          <w:tab w:val="left" w:pos="720"/>
        </w:tabs>
        <w:ind w:left="1080"/>
      </w:pPr>
      <w:r>
        <w:t>Be designed to minimize off-site migration of subsurface gas.</w:t>
      </w:r>
    </w:p>
    <w:p w14:paraId="0980EDC3" w14:textId="47EBB4AF" w:rsidR="004322D1" w:rsidRDefault="004322D1" w:rsidP="004D17E2">
      <w:pPr>
        <w:pStyle w:val="ListParagraph"/>
        <w:numPr>
          <w:ilvl w:val="0"/>
          <w:numId w:val="13"/>
        </w:numPr>
        <w:tabs>
          <w:tab w:val="left" w:pos="360"/>
          <w:tab w:val="left" w:pos="720"/>
        </w:tabs>
        <w:spacing w:after="120"/>
        <w:ind w:left="720"/>
      </w:pPr>
      <w:r>
        <w:t>A passive collection system must:</w:t>
      </w:r>
    </w:p>
    <w:p w14:paraId="387F771D" w14:textId="5D372071" w:rsidR="004322D1" w:rsidRDefault="004322D1" w:rsidP="004D17E2">
      <w:pPr>
        <w:pStyle w:val="ListParagraph"/>
        <w:numPr>
          <w:ilvl w:val="0"/>
          <w:numId w:val="15"/>
        </w:numPr>
        <w:tabs>
          <w:tab w:val="left" w:pos="360"/>
          <w:tab w:val="left" w:pos="720"/>
        </w:tabs>
        <w:spacing w:after="120"/>
        <w:ind w:left="1080"/>
      </w:pPr>
      <w:r>
        <w:t xml:space="preserve">Comply with the provisions specified in </w:t>
      </w:r>
      <w:hyperlink w:anchor="SCA4a1" w:tooltip=" " w:history="1">
        <w:r w:rsidRPr="00B664C1">
          <w:rPr>
            <w:rStyle w:val="Hyperlink"/>
            <w:b/>
            <w:color w:val="auto"/>
            <w:u w:val="none"/>
          </w:rPr>
          <w:t>paragraph a.(1)</w:t>
        </w:r>
      </w:hyperlink>
      <w:r w:rsidRPr="00D155D9">
        <w:t>,</w:t>
      </w:r>
      <w:r w:rsidRPr="00B664C1">
        <w:t xml:space="preserve"> </w:t>
      </w:r>
      <w:hyperlink w:anchor="SCA4a2" w:tooltip=" " w:history="1">
        <w:r w:rsidRPr="00B664C1">
          <w:rPr>
            <w:rStyle w:val="Hyperlink"/>
            <w:b/>
            <w:color w:val="auto"/>
            <w:u w:val="none"/>
          </w:rPr>
          <w:t>(2)</w:t>
        </w:r>
      </w:hyperlink>
      <w:r w:rsidRPr="00D155D9">
        <w:t xml:space="preserve">, and </w:t>
      </w:r>
      <w:hyperlink w:anchor="SCA4a3" w:tooltip=" " w:history="1">
        <w:r w:rsidRPr="00B664C1">
          <w:rPr>
            <w:rStyle w:val="Hyperlink"/>
            <w:b/>
            <w:color w:val="auto"/>
            <w:u w:val="none"/>
          </w:rPr>
          <w:t>(3)</w:t>
        </w:r>
      </w:hyperlink>
      <w:r>
        <w:t xml:space="preserve"> of this condition.</w:t>
      </w:r>
    </w:p>
    <w:p w14:paraId="43E4A2FC" w14:textId="56622B9B" w:rsidR="004322D1" w:rsidRDefault="004322D1" w:rsidP="004D17E2">
      <w:pPr>
        <w:pStyle w:val="ListParagraph"/>
        <w:numPr>
          <w:ilvl w:val="0"/>
          <w:numId w:val="15"/>
        </w:numPr>
        <w:tabs>
          <w:tab w:val="left" w:pos="360"/>
          <w:tab w:val="left" w:pos="720"/>
        </w:tabs>
        <w:spacing w:after="120"/>
        <w:ind w:left="1080"/>
      </w:pPr>
      <w:r>
        <w:t>Be installed with liners on the bottom</w:t>
      </w:r>
      <w:r w:rsidR="003661DC">
        <w:t xml:space="preserve"> and all sides in all areas in which gas is to be collected.  The liners must be installed as required under 40 CFR 258.40.</w:t>
      </w:r>
    </w:p>
    <w:p w14:paraId="0F2FAC55" w14:textId="31E9F189" w:rsidR="003661DC" w:rsidRDefault="006D5F73" w:rsidP="004D17E2">
      <w:pPr>
        <w:pStyle w:val="ListParagraph"/>
        <w:numPr>
          <w:ilvl w:val="0"/>
          <w:numId w:val="13"/>
        </w:numPr>
        <w:tabs>
          <w:tab w:val="left" w:pos="360"/>
          <w:tab w:val="left" w:pos="720"/>
        </w:tabs>
        <w:spacing w:after="120"/>
        <w:ind w:left="720"/>
      </w:pPr>
      <w:r>
        <w:t>All the collected gas must be routed to a control system that complies with either of the following:</w:t>
      </w:r>
    </w:p>
    <w:p w14:paraId="1A93E796" w14:textId="1D1B563F" w:rsidR="006D5F73" w:rsidRPr="006D5F73" w:rsidRDefault="006D5F73" w:rsidP="004D17E2">
      <w:pPr>
        <w:pStyle w:val="ListParagraph"/>
        <w:numPr>
          <w:ilvl w:val="0"/>
          <w:numId w:val="16"/>
        </w:numPr>
        <w:tabs>
          <w:tab w:val="left" w:pos="360"/>
          <w:tab w:val="left" w:pos="720"/>
        </w:tabs>
        <w:spacing w:after="120"/>
        <w:ind w:left="1080"/>
        <w:rPr>
          <w:szCs w:val="22"/>
        </w:rPr>
      </w:pPr>
      <w:bookmarkStart w:id="23" w:name="SCA4c1"/>
      <w:bookmarkEnd w:id="23"/>
      <w:r w:rsidRPr="006D5F73">
        <w:rPr>
          <w:szCs w:val="22"/>
        </w:rPr>
        <w:t>A non-enclosed flare designed and operated in accordance with the parameters established in 40 CFR 60.18 except as noted in 40 CFR 60.764(e); or</w:t>
      </w:r>
    </w:p>
    <w:p w14:paraId="3B112909" w14:textId="77777777" w:rsidR="006D5F73" w:rsidRPr="006D5F73" w:rsidRDefault="006D5F73" w:rsidP="004D17E2">
      <w:pPr>
        <w:pStyle w:val="ListParagraph"/>
        <w:numPr>
          <w:ilvl w:val="0"/>
          <w:numId w:val="16"/>
        </w:numPr>
        <w:tabs>
          <w:tab w:val="left" w:pos="360"/>
          <w:tab w:val="left" w:pos="720"/>
        </w:tabs>
        <w:spacing w:after="120"/>
        <w:ind w:left="1080"/>
        <w:rPr>
          <w:szCs w:val="22"/>
        </w:rPr>
      </w:pPr>
      <w:bookmarkStart w:id="24" w:name="SCA4c2"/>
      <w:bookmarkEnd w:id="24"/>
      <w:r w:rsidRPr="006D5F73">
        <w:rPr>
          <w:color w:val="000000"/>
          <w:szCs w:val="22"/>
          <w:shd w:val="clear" w:color="auto" w:fill="FFFFFF"/>
        </w:rPr>
        <w:t xml:space="preserve">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w:t>
      </w:r>
      <w:r w:rsidRPr="006D5F73">
        <w:rPr>
          <w:color w:val="000000"/>
          <w:szCs w:val="22"/>
          <w:shd w:val="clear" w:color="auto" w:fill="FFFFFF"/>
        </w:rPr>
        <w:lastRenderedPageBreak/>
        <w:t>percent oxygen.  The reduction efficiency or parts per million by volume must be established by an initial performance test to be completed no later than 180 days after the initial startup of the approved control system using the test methods specified in 40 CFR 60.764(d).  The performance test is not required for boilers and process heaters with design heat input capacities equal to or greater than 44 megawatts that burn landfill gas for compliance with this subpart.</w:t>
      </w:r>
    </w:p>
    <w:p w14:paraId="1C600887" w14:textId="77777777" w:rsidR="006D5F73" w:rsidRDefault="006D5F73" w:rsidP="004D17E2">
      <w:pPr>
        <w:pStyle w:val="ListParagraph"/>
        <w:numPr>
          <w:ilvl w:val="0"/>
          <w:numId w:val="17"/>
        </w:numPr>
        <w:tabs>
          <w:tab w:val="left" w:pos="360"/>
          <w:tab w:val="left" w:pos="720"/>
        </w:tabs>
        <w:spacing w:after="120"/>
        <w:ind w:left="1440"/>
        <w:rPr>
          <w:szCs w:val="22"/>
        </w:rPr>
      </w:pPr>
      <w:r w:rsidRPr="006D5F73">
        <w:rPr>
          <w:szCs w:val="22"/>
        </w:rPr>
        <w:t>If a boiler or process heater is used as the control device, the landfill gas stream must be introduced into the flame zone</w:t>
      </w:r>
      <w:r>
        <w:rPr>
          <w:szCs w:val="22"/>
        </w:rPr>
        <w:t>.</w:t>
      </w:r>
    </w:p>
    <w:p w14:paraId="2B33D6BF" w14:textId="77777777" w:rsidR="006D5F73" w:rsidRDefault="006D5F73" w:rsidP="004D17E2">
      <w:pPr>
        <w:pStyle w:val="ListParagraph"/>
        <w:numPr>
          <w:ilvl w:val="0"/>
          <w:numId w:val="17"/>
        </w:numPr>
        <w:tabs>
          <w:tab w:val="left" w:pos="360"/>
          <w:tab w:val="left" w:pos="720"/>
        </w:tabs>
        <w:ind w:left="1440"/>
        <w:rPr>
          <w:szCs w:val="22"/>
        </w:rPr>
      </w:pPr>
      <w:r>
        <w:rPr>
          <w:szCs w:val="22"/>
        </w:rPr>
        <w:t>The control device must be operated within the parameter ranges established during the initial or most recent performance test.  The operating parameters to be monitored are specified in 40 CFR 60.766;</w:t>
      </w:r>
    </w:p>
    <w:p w14:paraId="0797223B" w14:textId="4AC6A4EA" w:rsidR="006D5F73" w:rsidRDefault="006D5F73" w:rsidP="004D17E2">
      <w:pPr>
        <w:pStyle w:val="ListParagraph"/>
        <w:numPr>
          <w:ilvl w:val="0"/>
          <w:numId w:val="16"/>
        </w:numPr>
        <w:tabs>
          <w:tab w:val="left" w:pos="360"/>
          <w:tab w:val="left" w:pos="720"/>
        </w:tabs>
        <w:ind w:left="1080"/>
        <w:rPr>
          <w:szCs w:val="22"/>
        </w:rPr>
      </w:pPr>
      <w:r w:rsidRPr="00C62D0B">
        <w:rPr>
          <w:szCs w:val="22"/>
        </w:rPr>
        <w:t>Route the collected gas to a treatment system that processes the collected gas for subsequent sale or beneficial use such as fuel for combustion, production of vehicle fuel, production of high-Btu gas for pipeline injection, or use as a raw material in a chemical manufacturing process.</w:t>
      </w:r>
      <w:r w:rsidR="00C62D0B" w:rsidRPr="00C62D0B">
        <w:rPr>
          <w:szCs w:val="22"/>
        </w:rPr>
        <w:t xml:space="preserve"> </w:t>
      </w:r>
      <w:r w:rsidRPr="00C62D0B">
        <w:rPr>
          <w:szCs w:val="22"/>
        </w:rPr>
        <w:t xml:space="preserve"> Venting of treated landfill gas to the ambient air is not allowed.</w:t>
      </w:r>
      <w:r w:rsidR="00C62D0B" w:rsidRPr="00C62D0B">
        <w:rPr>
          <w:szCs w:val="22"/>
        </w:rPr>
        <w:t xml:space="preserve"> </w:t>
      </w:r>
      <w:r w:rsidRPr="00C62D0B">
        <w:rPr>
          <w:szCs w:val="22"/>
        </w:rPr>
        <w:t xml:space="preserve"> If the treated landfill gas cannot be routed for subsequent sale or beneficial use, then the treated landfill gas must be controlled according to either </w:t>
      </w:r>
      <w:hyperlink w:anchor="SCA4c1" w:tooltip=" " w:history="1">
        <w:r w:rsidR="00C62D0B" w:rsidRPr="00B664C1">
          <w:rPr>
            <w:rStyle w:val="Hyperlink"/>
            <w:b/>
            <w:color w:val="auto"/>
            <w:szCs w:val="22"/>
            <w:u w:val="none"/>
          </w:rPr>
          <w:t>paragraph c.(1)</w:t>
        </w:r>
      </w:hyperlink>
      <w:r w:rsidR="00C62D0B" w:rsidRPr="00D155D9">
        <w:rPr>
          <w:szCs w:val="22"/>
        </w:rPr>
        <w:t xml:space="preserve"> or </w:t>
      </w:r>
      <w:hyperlink w:anchor="SCA4c2" w:history="1">
        <w:r w:rsidR="00C62D0B" w:rsidRPr="00B664C1">
          <w:rPr>
            <w:rStyle w:val="Hyperlink"/>
            <w:b/>
            <w:color w:val="auto"/>
            <w:szCs w:val="22"/>
            <w:u w:val="none"/>
          </w:rPr>
          <w:t>(2)</w:t>
        </w:r>
      </w:hyperlink>
      <w:r w:rsidR="00C62D0B" w:rsidRPr="00C62D0B">
        <w:rPr>
          <w:szCs w:val="22"/>
        </w:rPr>
        <w:t xml:space="preserve"> of this condition.</w:t>
      </w:r>
    </w:p>
    <w:p w14:paraId="51C10CAF" w14:textId="1A423E7B" w:rsidR="006861AD" w:rsidRDefault="006861AD" w:rsidP="004D17E2">
      <w:pPr>
        <w:pStyle w:val="ListParagraph"/>
        <w:numPr>
          <w:ilvl w:val="0"/>
          <w:numId w:val="16"/>
        </w:numPr>
        <w:tabs>
          <w:tab w:val="left" w:pos="360"/>
          <w:tab w:val="left" w:pos="720"/>
        </w:tabs>
        <w:ind w:left="1080"/>
        <w:rPr>
          <w:szCs w:val="22"/>
        </w:rPr>
      </w:pPr>
      <w:r>
        <w:rPr>
          <w:szCs w:val="22"/>
        </w:rPr>
        <w:t>All emissions from any atmospheric vent from the gas treatment system are subject to the requirements of</w:t>
      </w:r>
      <w:r w:rsidR="00B664C1">
        <w:rPr>
          <w:szCs w:val="22"/>
        </w:rPr>
        <w:t xml:space="preserve"> </w:t>
      </w:r>
      <w:hyperlink w:anchor="SCA4c1" w:tooltip=" " w:history="1">
        <w:r w:rsidR="00B664C1" w:rsidRPr="00B664C1">
          <w:rPr>
            <w:rStyle w:val="Hyperlink"/>
            <w:b/>
            <w:color w:val="auto"/>
            <w:szCs w:val="22"/>
            <w:u w:val="none"/>
          </w:rPr>
          <w:t>paragraph c.(1)</w:t>
        </w:r>
      </w:hyperlink>
      <w:r w:rsidRPr="00D155D9">
        <w:rPr>
          <w:szCs w:val="22"/>
        </w:rPr>
        <w:t xml:space="preserve"> or </w:t>
      </w:r>
      <w:hyperlink w:anchor="SCA4c2" w:tooltip=" " w:history="1">
        <w:r w:rsidR="00B664C1" w:rsidRPr="00B664C1">
          <w:rPr>
            <w:rStyle w:val="Hyperlink"/>
            <w:b/>
            <w:color w:val="auto"/>
            <w:szCs w:val="22"/>
            <w:u w:val="none"/>
          </w:rPr>
          <w:t>(2)</w:t>
        </w:r>
      </w:hyperlink>
      <w:r>
        <w:rPr>
          <w:szCs w:val="22"/>
        </w:rPr>
        <w:t xml:space="preserve"> of this condition.  For purposes of this subpart, atmospheric vents located on the condensate storage tank are not part of the treatment system and are exempt from the requirements of</w:t>
      </w:r>
      <w:r w:rsidR="00B664C1">
        <w:rPr>
          <w:szCs w:val="22"/>
        </w:rPr>
        <w:t xml:space="preserve"> </w:t>
      </w:r>
      <w:hyperlink w:anchor="SCA4c1" w:tooltip=" " w:history="1">
        <w:r w:rsidR="00B664C1" w:rsidRPr="00B664C1">
          <w:rPr>
            <w:rStyle w:val="Hyperlink"/>
            <w:b/>
            <w:color w:val="auto"/>
            <w:szCs w:val="22"/>
            <w:u w:val="none"/>
          </w:rPr>
          <w:t>paragraph c.(1)</w:t>
        </w:r>
      </w:hyperlink>
      <w:r w:rsidRPr="00D155D9">
        <w:rPr>
          <w:szCs w:val="22"/>
        </w:rPr>
        <w:t xml:space="preserve"> or </w:t>
      </w:r>
      <w:hyperlink w:anchor="SCA4c2" w:tooltip=" " w:history="1">
        <w:r w:rsidR="00B664C1" w:rsidRPr="00B664C1">
          <w:rPr>
            <w:rStyle w:val="Hyperlink"/>
            <w:b/>
            <w:color w:val="auto"/>
            <w:szCs w:val="22"/>
            <w:u w:val="none"/>
          </w:rPr>
          <w:t>(2)</w:t>
        </w:r>
      </w:hyperlink>
      <w:r>
        <w:rPr>
          <w:szCs w:val="22"/>
        </w:rPr>
        <w:t xml:space="preserve"> of this section.</w:t>
      </w:r>
    </w:p>
    <w:p w14:paraId="20E84324" w14:textId="6572494C" w:rsidR="00C62D0B" w:rsidRDefault="00C62D0B" w:rsidP="00C62D0B">
      <w:pPr>
        <w:tabs>
          <w:tab w:val="left" w:pos="360"/>
          <w:tab w:val="left" w:pos="720"/>
        </w:tabs>
        <w:spacing w:after="120"/>
        <w:ind w:left="360"/>
        <w:rPr>
          <w:b/>
          <w:u w:val="single"/>
        </w:rPr>
      </w:pPr>
      <w:r>
        <w:rPr>
          <w:szCs w:val="22"/>
        </w:rPr>
        <w:t>[40 CFR 60.762</w:t>
      </w:r>
      <w:r w:rsidR="004E4F19">
        <w:rPr>
          <w:szCs w:val="22"/>
        </w:rPr>
        <w:t>(b)</w:t>
      </w:r>
      <w:r w:rsidR="007364BA">
        <w:rPr>
          <w:szCs w:val="22"/>
        </w:rPr>
        <w:t>(2)</w:t>
      </w:r>
      <w:r>
        <w:rPr>
          <w:szCs w:val="22"/>
        </w:rPr>
        <w:t>(ii) and (iii)]</w:t>
      </w:r>
    </w:p>
    <w:p w14:paraId="16572154" w14:textId="1909D118" w:rsidR="00D416F2" w:rsidRDefault="00D416F2" w:rsidP="00D416F2">
      <w:pPr>
        <w:tabs>
          <w:tab w:val="left" w:pos="0"/>
        </w:tabs>
        <w:suppressAutoHyphens/>
        <w:spacing w:before="120" w:after="120"/>
        <w:rPr>
          <w:b/>
          <w:u w:val="single"/>
        </w:rPr>
      </w:pPr>
      <w:r w:rsidRPr="00B33C23">
        <w:rPr>
          <w:b/>
          <w:u w:val="single"/>
        </w:rPr>
        <w:t>Test Methods and Procedures</w:t>
      </w:r>
    </w:p>
    <w:p w14:paraId="27A64439" w14:textId="77777777" w:rsidR="00B1667A" w:rsidRDefault="00B1667A" w:rsidP="00B1667A">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14:paraId="3093F4BB" w14:textId="456E4BC8" w:rsidR="000C5F64" w:rsidRDefault="000C5F64" w:rsidP="00253E4E">
      <w:pPr>
        <w:pStyle w:val="ListParagraph"/>
        <w:keepLines/>
        <w:widowControl w:val="0"/>
        <w:numPr>
          <w:ilvl w:val="0"/>
          <w:numId w:val="2"/>
        </w:numPr>
        <w:tabs>
          <w:tab w:val="clear" w:pos="1296"/>
          <w:tab w:val="left" w:pos="360"/>
          <w:tab w:val="num" w:pos="720"/>
          <w:tab w:val="left" w:pos="1440"/>
          <w:tab w:val="right" w:pos="1008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r>
        <w:rPr>
          <w:szCs w:val="22"/>
        </w:rPr>
        <w:t xml:space="preserve">: </w:t>
      </w:r>
      <w:r w:rsidRPr="00D0194F">
        <w:rPr>
          <w:szCs w:val="22"/>
        </w:rPr>
        <w:t>[</w:t>
      </w:r>
      <w:r w:rsidR="00D0194F">
        <w:rPr>
          <w:szCs w:val="22"/>
        </w:rPr>
        <w:t>2E, 21, 25, and 25C</w:t>
      </w:r>
      <w:r w:rsidRPr="00D0194F">
        <w:rPr>
          <w:szCs w:val="22"/>
        </w:rPr>
        <w:t>]</w:t>
      </w:r>
    </w:p>
    <w:tbl>
      <w:tblPr>
        <w:tblW w:w="9468" w:type="dxa"/>
        <w:tblInd w:w="43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B41709" w14:paraId="1F25556A" w14:textId="77777777" w:rsidTr="00BC0B44">
        <w:trPr>
          <w:tblHeader/>
        </w:trPr>
        <w:tc>
          <w:tcPr>
            <w:tcW w:w="1224" w:type="dxa"/>
          </w:tcPr>
          <w:p w14:paraId="3720825A" w14:textId="77777777" w:rsidR="000C5F64" w:rsidRPr="00B41709" w:rsidRDefault="000C5F64" w:rsidP="00E07D22">
            <w:pPr>
              <w:jc w:val="center"/>
              <w:rPr>
                <w:b/>
              </w:rPr>
            </w:pPr>
            <w:r w:rsidRPr="00B41709">
              <w:rPr>
                <w:b/>
              </w:rPr>
              <w:t>Method</w:t>
            </w:r>
          </w:p>
        </w:tc>
        <w:tc>
          <w:tcPr>
            <w:tcW w:w="8244" w:type="dxa"/>
          </w:tcPr>
          <w:p w14:paraId="7535770E" w14:textId="77777777" w:rsidR="000C5F64" w:rsidRPr="00B41709" w:rsidRDefault="000C5F64" w:rsidP="00E07D22">
            <w:pPr>
              <w:rPr>
                <w:b/>
              </w:rPr>
            </w:pPr>
            <w:r w:rsidRPr="00B41709">
              <w:rPr>
                <w:b/>
              </w:rPr>
              <w:t>Description of Method and Comments</w:t>
            </w:r>
          </w:p>
        </w:tc>
      </w:tr>
      <w:tr w:rsidR="000C5F64" w:rsidRPr="006561AD" w14:paraId="1AC53805" w14:textId="77777777" w:rsidTr="00BC0B44">
        <w:tc>
          <w:tcPr>
            <w:tcW w:w="1224" w:type="dxa"/>
          </w:tcPr>
          <w:p w14:paraId="764A8AC3" w14:textId="45954B1D" w:rsidR="000C5F64" w:rsidRPr="00D0194F" w:rsidRDefault="00D0194F" w:rsidP="00E07D22">
            <w:pPr>
              <w:jc w:val="center"/>
            </w:pPr>
            <w:r w:rsidRPr="00D0194F">
              <w:t>2E</w:t>
            </w:r>
          </w:p>
        </w:tc>
        <w:tc>
          <w:tcPr>
            <w:tcW w:w="8244" w:type="dxa"/>
          </w:tcPr>
          <w:p w14:paraId="24BA5114" w14:textId="3969AB1B" w:rsidR="000C5F64" w:rsidRPr="00D0194F" w:rsidRDefault="00D0194F" w:rsidP="00E07D22">
            <w:r w:rsidRPr="00D0194F">
              <w:t>Determination of Landfill Gas Production Flow Rate</w:t>
            </w:r>
          </w:p>
        </w:tc>
      </w:tr>
      <w:tr w:rsidR="000C5F64" w:rsidRPr="006561AD" w14:paraId="1B02CC03" w14:textId="77777777" w:rsidTr="00BC0B44">
        <w:tc>
          <w:tcPr>
            <w:tcW w:w="1224" w:type="dxa"/>
          </w:tcPr>
          <w:p w14:paraId="1B02E3CC" w14:textId="4CF0666C" w:rsidR="000C5F64" w:rsidRPr="00D0194F" w:rsidRDefault="00D0194F" w:rsidP="00E07D22">
            <w:pPr>
              <w:spacing w:before="40" w:after="40"/>
              <w:jc w:val="center"/>
            </w:pPr>
            <w:r w:rsidRPr="00D0194F">
              <w:t>21</w:t>
            </w:r>
          </w:p>
        </w:tc>
        <w:tc>
          <w:tcPr>
            <w:tcW w:w="8244" w:type="dxa"/>
          </w:tcPr>
          <w:p w14:paraId="58E9C3A1" w14:textId="73E14FA5" w:rsidR="000C5F64" w:rsidRPr="00D0194F" w:rsidRDefault="00D0194F" w:rsidP="00E07D22">
            <w:pPr>
              <w:spacing w:before="40" w:after="40"/>
              <w:jc w:val="both"/>
            </w:pPr>
            <w:r w:rsidRPr="00D0194F">
              <w:t>Determination of Volatile Organic Compound Leaks</w:t>
            </w:r>
          </w:p>
        </w:tc>
      </w:tr>
      <w:tr w:rsidR="000C5F64" w:rsidRPr="006561AD" w14:paraId="1ED6B3D9" w14:textId="77777777" w:rsidTr="00BC0B44">
        <w:tc>
          <w:tcPr>
            <w:tcW w:w="1224" w:type="dxa"/>
          </w:tcPr>
          <w:p w14:paraId="55593E5E" w14:textId="5F927834" w:rsidR="000C5F64" w:rsidRPr="00D0194F" w:rsidRDefault="00D0194F" w:rsidP="00E07D22">
            <w:pPr>
              <w:jc w:val="center"/>
            </w:pPr>
            <w:r w:rsidRPr="00D0194F">
              <w:t>25</w:t>
            </w:r>
          </w:p>
        </w:tc>
        <w:tc>
          <w:tcPr>
            <w:tcW w:w="8244" w:type="dxa"/>
          </w:tcPr>
          <w:p w14:paraId="5BBA8D97" w14:textId="00BE6180" w:rsidR="000C5F64" w:rsidRPr="00D0194F" w:rsidRDefault="00D0194F" w:rsidP="00E07D22">
            <w:r w:rsidRPr="00D0194F">
              <w:t>Determination of Total Gaseous Nonmethane Organic Emissions as Carbon</w:t>
            </w:r>
          </w:p>
        </w:tc>
      </w:tr>
      <w:tr w:rsidR="000C5F64" w:rsidRPr="006561AD" w14:paraId="27106E7C" w14:textId="77777777" w:rsidTr="00BC0B44">
        <w:tc>
          <w:tcPr>
            <w:tcW w:w="1224" w:type="dxa"/>
          </w:tcPr>
          <w:p w14:paraId="2DBE4514" w14:textId="6B878839" w:rsidR="000C5F64" w:rsidRPr="00D0194F" w:rsidRDefault="00D0194F" w:rsidP="00E07D22">
            <w:pPr>
              <w:jc w:val="center"/>
            </w:pPr>
            <w:r w:rsidRPr="00D0194F">
              <w:t>25C</w:t>
            </w:r>
          </w:p>
        </w:tc>
        <w:tc>
          <w:tcPr>
            <w:tcW w:w="8244" w:type="dxa"/>
          </w:tcPr>
          <w:p w14:paraId="776CE169" w14:textId="1171BC91" w:rsidR="000C5F64" w:rsidRPr="00D0194F" w:rsidRDefault="00D0194F" w:rsidP="00E07D22">
            <w:r w:rsidRPr="00D0194F">
              <w:t>Determination of Nonmethane Organic Compounds (NMOC) in MSW Landfill Gases</w:t>
            </w:r>
          </w:p>
        </w:tc>
      </w:tr>
    </w:tbl>
    <w:p w14:paraId="22D18A5C" w14:textId="77777777" w:rsidR="00253E4E" w:rsidRDefault="000C5F64" w:rsidP="00253E4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Pr>
          <w:szCs w:val="22"/>
        </w:rPr>
        <w:tab/>
      </w: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p>
    <w:p w14:paraId="3682BB00" w14:textId="70D40AE1" w:rsidR="000C5F64" w:rsidRDefault="000C5F64" w:rsidP="00253E4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C66B90">
        <w:rPr>
          <w:szCs w:val="22"/>
        </w:rPr>
        <w:t>[</w:t>
      </w:r>
      <w:r w:rsidR="003B62B8">
        <w:rPr>
          <w:szCs w:val="22"/>
        </w:rPr>
        <w:t xml:space="preserve">Rule </w:t>
      </w:r>
      <w:r>
        <w:rPr>
          <w:szCs w:val="22"/>
        </w:rPr>
        <w:t>62-</w:t>
      </w:r>
      <w:r w:rsidR="00265369">
        <w:rPr>
          <w:szCs w:val="22"/>
        </w:rPr>
        <w:t>204.800</w:t>
      </w:r>
      <w:r>
        <w:rPr>
          <w:szCs w:val="22"/>
        </w:rPr>
        <w:t>, F.A.C</w:t>
      </w:r>
      <w:r w:rsidR="00D97E27">
        <w:rPr>
          <w:szCs w:val="22"/>
        </w:rPr>
        <w:t>.</w:t>
      </w:r>
      <w:r w:rsidRPr="00C66B90">
        <w:rPr>
          <w:szCs w:val="22"/>
        </w:rPr>
        <w:t>]</w:t>
      </w:r>
    </w:p>
    <w:p w14:paraId="504CC0AC" w14:textId="77777777" w:rsidR="004D1178" w:rsidRDefault="004D1178" w:rsidP="00253E4E">
      <w:pPr>
        <w:pStyle w:val="ListParagraph"/>
        <w:keepLines/>
        <w:widowControl w:val="0"/>
        <w:numPr>
          <w:ilvl w:val="0"/>
          <w:numId w:val="2"/>
        </w:numPr>
        <w:tabs>
          <w:tab w:val="clear" w:pos="1296"/>
          <w:tab w:val="left" w:pos="360"/>
          <w:tab w:val="num" w:pos="720"/>
          <w:tab w:val="left" w:pos="1440"/>
          <w:tab w:val="right" w:pos="10080"/>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14:paraId="133AB0D4" w14:textId="39FF5770" w:rsidR="003752D6" w:rsidRDefault="003C0DA6" w:rsidP="003752D6">
      <w:pPr>
        <w:keepLines/>
        <w:widowControl w:val="0"/>
        <w:tabs>
          <w:tab w:val="left" w:pos="360"/>
          <w:tab w:val="left" w:pos="720"/>
          <w:tab w:val="left" w:pos="1080"/>
          <w:tab w:val="left" w:pos="1440"/>
          <w:tab w:val="right" w:pos="10080"/>
        </w:tabs>
        <w:spacing w:after="120"/>
        <w:ind w:left="360"/>
        <w:rPr>
          <w:i/>
        </w:rPr>
      </w:pPr>
      <w:r w:rsidRPr="009046E3">
        <w:rPr>
          <w:i/>
        </w:rPr>
        <w:t>{Permitting Note:  Tests which are only required once during the term of a permit prior to obtaining a renewed permit should be performed roughly five years from the previous test.}</w:t>
      </w:r>
    </w:p>
    <w:p w14:paraId="1AE1A98C" w14:textId="711912CE" w:rsidR="00921686" w:rsidRDefault="003752D6" w:rsidP="00E67190">
      <w:pPr>
        <w:pStyle w:val="ListParagraph"/>
        <w:keepLines/>
        <w:widowControl w:val="0"/>
        <w:numPr>
          <w:ilvl w:val="0"/>
          <w:numId w:val="2"/>
        </w:numPr>
        <w:tabs>
          <w:tab w:val="clear" w:pos="1296"/>
          <w:tab w:val="left" w:pos="360"/>
          <w:tab w:val="num" w:pos="720"/>
          <w:tab w:val="left" w:pos="1440"/>
          <w:tab w:val="right" w:pos="10080"/>
        </w:tabs>
        <w:spacing w:after="120"/>
        <w:ind w:left="360" w:hanging="360"/>
      </w:pPr>
      <w:bookmarkStart w:id="25" w:name="SCA7"/>
      <w:bookmarkStart w:id="26" w:name="_Ref471215197"/>
      <w:bookmarkEnd w:id="25"/>
      <w:r w:rsidRPr="009C7754">
        <w:rPr>
          <w:u w:val="single"/>
        </w:rPr>
        <w:t>Calculation of NMOC Emission Rate</w:t>
      </w:r>
      <w:r w:rsidR="00BB403E" w:rsidRPr="009C7754">
        <w:rPr>
          <w:u w:val="single"/>
        </w:rPr>
        <w:t xml:space="preserve"> if Solid Waste Acceptance Rate is Known</w:t>
      </w:r>
      <w:r>
        <w:t xml:space="preserve">.  </w:t>
      </w:r>
      <w:r w:rsidR="00921686">
        <w:t>If the actual year-to-year solid waste acceptance rate is known</w:t>
      </w:r>
      <w:r w:rsidR="00BB403E">
        <w:t>,</w:t>
      </w:r>
      <w:r w:rsidR="003A1C9C">
        <w:t xml:space="preserve"> for part of the life of the landfill</w:t>
      </w:r>
      <w:r w:rsidR="00921686">
        <w:t xml:space="preserve">, then the landfill owner or operator </w:t>
      </w:r>
      <w:r w:rsidR="003A1C9C">
        <w:t>must</w:t>
      </w:r>
      <w:r w:rsidR="00921686">
        <w:t xml:space="preserve"> calculate the NMOC emission rate using the following equation:</w:t>
      </w:r>
      <w:bookmarkEnd w:id="26"/>
    </w:p>
    <w:p w14:paraId="2AA1A984" w14:textId="0746B4F8" w:rsidR="00921686" w:rsidRPr="00E404F5" w:rsidRDefault="00221AA1" w:rsidP="00E404F5">
      <w:pPr>
        <w:keepLines/>
        <w:widowControl w:val="0"/>
        <w:tabs>
          <w:tab w:val="left" w:pos="720"/>
          <w:tab w:val="left" w:pos="1080"/>
          <w:tab w:val="left" w:pos="1440"/>
          <w:tab w:val="right" w:pos="10080"/>
        </w:tabs>
        <w:spacing w:after="120"/>
        <w:ind w:left="360"/>
      </w:pPr>
      <m:oMathPara>
        <m:oMathParaPr>
          <m:jc m:val="left"/>
        </m:oMathParaPr>
        <m:oMath>
          <m:sSub>
            <m:sSubPr>
              <m:ctrlPr>
                <w:rPr>
                  <w:rFonts w:ascii="Cambria Math" w:hAnsi="Cambria Math"/>
                  <w:i/>
                </w:rPr>
              </m:ctrlPr>
            </m:sSubPr>
            <m:e>
              <m:r>
                <w:rPr>
                  <w:rFonts w:ascii="Cambria Math" w:hAnsi="Cambria Math"/>
                </w:rPr>
                <m:t>M</m:t>
              </m:r>
            </m:e>
            <m:sub>
              <m:r>
                <w:rPr>
                  <w:rFonts w:ascii="Cambria Math" w:hAnsi="Cambria Math"/>
                </w:rPr>
                <m:t>NMOC</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2k</m:t>
              </m:r>
              <m:sSub>
                <m:sSubPr>
                  <m:ctrlPr>
                    <w:rPr>
                      <w:rFonts w:ascii="Cambria Math" w:hAnsi="Cambria Math"/>
                      <w:i/>
                    </w:rPr>
                  </m:ctrlPr>
                </m:sSubPr>
                <m:e>
                  <m:r>
                    <w:rPr>
                      <w:rFonts w:ascii="Cambria Math" w:hAnsi="Cambria Math"/>
                    </w:rPr>
                    <m:t>L</m:t>
                  </m:r>
                </m:e>
                <m:sub>
                  <m:r>
                    <w:rPr>
                      <w:rFonts w:ascii="Cambria Math" w:hAnsi="Cambria Math"/>
                    </w:rPr>
                    <m:t>o</m:t>
                  </m:r>
                </m:sub>
              </m:sSub>
              <m:sSub>
                <m:sSubPr>
                  <m:ctrlPr>
                    <w:rPr>
                      <w:rFonts w:ascii="Cambria Math" w:hAnsi="Cambria Math"/>
                      <w:i/>
                    </w:rPr>
                  </m:ctrlPr>
                </m:sSubPr>
                <m:e>
                  <m:r>
                    <w:rPr>
                      <w:rFonts w:ascii="Cambria Math" w:hAnsi="Cambria Math"/>
                    </w:rPr>
                    <m:t>M</m:t>
                  </m:r>
                </m:e>
                <m:sub>
                  <m:r>
                    <w:rPr>
                      <w:rFonts w:ascii="Cambria Math" w:hAnsi="Cambria Math"/>
                    </w:rPr>
                    <m:t>i</m:t>
                  </m:r>
                </m:sub>
              </m:sSub>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-kt</m:t>
                      </m:r>
                    </m:sup>
                  </m:sSup>
                  <m:r>
                    <w:rPr>
                      <w:rFonts w:ascii="Cambria Math" w:hAnsi="Cambria Math"/>
                    </w:rPr>
                    <m:t>i</m:t>
                  </m:r>
                </m:e>
              </m:d>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NMOC</m:t>
                      </m:r>
                    </m:sub>
                  </m:sSub>
                </m:e>
              </m:d>
              <m:d>
                <m:dPr>
                  <m:ctrlPr>
                    <w:rPr>
                      <w:rFonts w:ascii="Cambria Math" w:hAnsi="Cambria Math"/>
                      <w:i/>
                    </w:rPr>
                  </m:ctrlPr>
                </m:dPr>
                <m:e>
                  <m:r>
                    <w:rPr>
                      <w:rFonts w:ascii="Cambria Math" w:hAnsi="Cambria Math"/>
                    </w:rPr>
                    <m:t xml:space="preserve">3.6 </m:t>
                  </m:r>
                  <m:r>
                    <m:rPr>
                      <m:sty m:val="p"/>
                    </m:rPr>
                    <w:rPr>
                      <w:rFonts w:ascii="Cambria Math" w:hAnsi="Cambria Math"/>
                    </w:rPr>
                    <m:t>x</m:t>
                  </m:r>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-9</m:t>
                      </m:r>
                    </m:sup>
                  </m:sSup>
                </m:e>
              </m:d>
            </m:e>
          </m:nary>
        </m:oMath>
      </m:oMathPara>
    </w:p>
    <w:p w14:paraId="3787FE3F" w14:textId="6918B73F" w:rsidR="00E404F5" w:rsidRDefault="00AA2B8B" w:rsidP="00E404F5">
      <w:pPr>
        <w:keepLines/>
        <w:widowControl w:val="0"/>
        <w:tabs>
          <w:tab w:val="left" w:pos="720"/>
          <w:tab w:val="left" w:pos="1080"/>
          <w:tab w:val="left" w:pos="1440"/>
          <w:tab w:val="right" w:pos="10080"/>
        </w:tabs>
        <w:ind w:left="360"/>
      </w:pPr>
      <w:r>
        <w:t>Where:</w:t>
      </w:r>
    </w:p>
    <w:p w14:paraId="0106B980" w14:textId="0D923FBC" w:rsidR="00E404F5" w:rsidRDefault="00E404F5" w:rsidP="00E404F5">
      <w:pPr>
        <w:keepLines/>
        <w:widowControl w:val="0"/>
        <w:tabs>
          <w:tab w:val="left" w:pos="720"/>
          <w:tab w:val="left" w:pos="1080"/>
          <w:tab w:val="left" w:pos="1440"/>
          <w:tab w:val="right" w:pos="10080"/>
        </w:tabs>
        <w:ind w:left="360"/>
      </w:pPr>
      <w:r>
        <w:t>M</w:t>
      </w:r>
      <w:r>
        <w:rPr>
          <w:vertAlign w:val="subscript"/>
        </w:rPr>
        <w:t>NMOC</w:t>
      </w:r>
      <w:r>
        <w:t xml:space="preserve"> = Total NMOC emission rate from landfill (megagrams/year)</w:t>
      </w:r>
    </w:p>
    <w:p w14:paraId="683954AB" w14:textId="1C6EA656" w:rsidR="00E404F5" w:rsidRPr="00E404F5" w:rsidRDefault="00E404F5" w:rsidP="00E404F5">
      <w:pPr>
        <w:keepLines/>
        <w:widowControl w:val="0"/>
        <w:tabs>
          <w:tab w:val="left" w:pos="720"/>
          <w:tab w:val="left" w:pos="1080"/>
          <w:tab w:val="left" w:pos="1440"/>
          <w:tab w:val="right" w:pos="10080"/>
        </w:tabs>
        <w:ind w:left="360"/>
      </w:pPr>
      <w:r>
        <w:t>k = methane generation rate constant (year</w:t>
      </w:r>
      <w:r>
        <w:rPr>
          <w:vertAlign w:val="superscript"/>
        </w:rPr>
        <w:t>-1</w:t>
      </w:r>
      <w:r>
        <w:t>) = 0.05 year</w:t>
      </w:r>
      <w:r>
        <w:rPr>
          <w:vertAlign w:val="superscript"/>
        </w:rPr>
        <w:t>-1</w:t>
      </w:r>
    </w:p>
    <w:p w14:paraId="4A2C6514" w14:textId="2ECFD771" w:rsidR="00E404F5" w:rsidRPr="00E404F5" w:rsidRDefault="00E404F5" w:rsidP="00E404F5">
      <w:pPr>
        <w:keepLines/>
        <w:widowControl w:val="0"/>
        <w:tabs>
          <w:tab w:val="left" w:pos="720"/>
          <w:tab w:val="left" w:pos="1080"/>
          <w:tab w:val="left" w:pos="1440"/>
          <w:tab w:val="right" w:pos="10080"/>
        </w:tabs>
        <w:ind w:left="360"/>
      </w:pPr>
      <w:r>
        <w:t>L</w:t>
      </w:r>
      <w:r>
        <w:rPr>
          <w:vertAlign w:val="subscript"/>
        </w:rPr>
        <w:t>o</w:t>
      </w:r>
      <w:r>
        <w:t xml:space="preserve"> = methane generation potential (m</w:t>
      </w:r>
      <w:r>
        <w:rPr>
          <w:vertAlign w:val="superscript"/>
        </w:rPr>
        <w:t>3</w:t>
      </w:r>
      <w:r>
        <w:t>/megagram of solid waste) = 170 m</w:t>
      </w:r>
      <w:r>
        <w:rPr>
          <w:vertAlign w:val="superscript"/>
        </w:rPr>
        <w:t>3</w:t>
      </w:r>
      <w:r>
        <w:t>/megagram</w:t>
      </w:r>
    </w:p>
    <w:p w14:paraId="09FD3148" w14:textId="0F7491FE" w:rsidR="00E404F5" w:rsidRDefault="00E404F5" w:rsidP="00E404F5">
      <w:pPr>
        <w:keepLines/>
        <w:widowControl w:val="0"/>
        <w:tabs>
          <w:tab w:val="left" w:pos="720"/>
          <w:tab w:val="left" w:pos="1080"/>
          <w:tab w:val="left" w:pos="1440"/>
          <w:tab w:val="right" w:pos="10080"/>
        </w:tabs>
        <w:ind w:left="360"/>
      </w:pPr>
      <w:r>
        <w:t>M</w:t>
      </w:r>
      <w:r>
        <w:softHyphen/>
      </w:r>
      <w:r>
        <w:rPr>
          <w:vertAlign w:val="subscript"/>
        </w:rPr>
        <w:t xml:space="preserve">i </w:t>
      </w:r>
      <w:r>
        <w:t>= mass of solid waste in the i</w:t>
      </w:r>
      <w:r>
        <w:rPr>
          <w:vertAlign w:val="superscript"/>
        </w:rPr>
        <w:t>th</w:t>
      </w:r>
      <w:r>
        <w:t xml:space="preserve"> section (megagrams)</w:t>
      </w:r>
    </w:p>
    <w:p w14:paraId="061169B6" w14:textId="2408F390" w:rsidR="00E404F5" w:rsidRDefault="00E404F5" w:rsidP="00E404F5">
      <w:pPr>
        <w:keepLines/>
        <w:widowControl w:val="0"/>
        <w:tabs>
          <w:tab w:val="left" w:pos="720"/>
          <w:tab w:val="left" w:pos="1080"/>
          <w:tab w:val="left" w:pos="1440"/>
          <w:tab w:val="right" w:pos="10080"/>
        </w:tabs>
        <w:ind w:left="360"/>
      </w:pPr>
      <w:r>
        <w:t>t</w:t>
      </w:r>
      <w:r>
        <w:rPr>
          <w:vertAlign w:val="subscript"/>
        </w:rPr>
        <w:t>i</w:t>
      </w:r>
      <w:r>
        <w:t xml:space="preserve"> = age of the i</w:t>
      </w:r>
      <w:r>
        <w:rPr>
          <w:vertAlign w:val="superscript"/>
        </w:rPr>
        <w:t>th</w:t>
      </w:r>
      <w:r>
        <w:t xml:space="preserve"> section (years)</w:t>
      </w:r>
    </w:p>
    <w:p w14:paraId="0674978F" w14:textId="35F40F9E" w:rsidR="00E404F5" w:rsidRDefault="00E404F5" w:rsidP="00E404F5">
      <w:pPr>
        <w:keepLines/>
        <w:widowControl w:val="0"/>
        <w:tabs>
          <w:tab w:val="left" w:pos="720"/>
          <w:tab w:val="left" w:pos="1080"/>
          <w:tab w:val="left" w:pos="1440"/>
          <w:tab w:val="right" w:pos="10080"/>
        </w:tabs>
        <w:ind w:left="360"/>
      </w:pPr>
      <w:r>
        <w:t>C</w:t>
      </w:r>
      <w:r>
        <w:rPr>
          <w:vertAlign w:val="subscript"/>
        </w:rPr>
        <w:t>NMOC</w:t>
      </w:r>
      <w:r>
        <w:t xml:space="preserve"> = concentration of NMOC (ppmv as hexane)</w:t>
      </w:r>
      <w:r w:rsidR="003A1C9C">
        <w:t xml:space="preserve"> = 4,000 ppmv as hexane</w:t>
      </w:r>
    </w:p>
    <w:p w14:paraId="6F08003B" w14:textId="594364A5" w:rsidR="003A1C9C" w:rsidRDefault="003A1C9C" w:rsidP="003A1C9C">
      <w:pPr>
        <w:keepLines/>
        <w:widowControl w:val="0"/>
        <w:tabs>
          <w:tab w:val="left" w:pos="720"/>
          <w:tab w:val="left" w:pos="1080"/>
          <w:tab w:val="left" w:pos="1440"/>
          <w:tab w:val="right" w:pos="10080"/>
        </w:tabs>
        <w:spacing w:after="120"/>
        <w:ind w:left="360"/>
      </w:pPr>
      <w:r>
        <w:t>3.6 x 10</w:t>
      </w:r>
      <w:r>
        <w:rPr>
          <w:vertAlign w:val="superscript"/>
        </w:rPr>
        <w:t>-9</w:t>
      </w:r>
      <w:r>
        <w:t xml:space="preserve"> = conversion factor</w:t>
      </w:r>
    </w:p>
    <w:p w14:paraId="79EAC0D5" w14:textId="3B2EC997" w:rsidR="003A1C9C" w:rsidRDefault="003A1C9C" w:rsidP="003A1C9C">
      <w:pPr>
        <w:keepLines/>
        <w:widowControl w:val="0"/>
        <w:tabs>
          <w:tab w:val="left" w:pos="720"/>
          <w:tab w:val="left" w:pos="1080"/>
          <w:tab w:val="left" w:pos="1440"/>
          <w:tab w:val="right" w:pos="10080"/>
        </w:tabs>
        <w:spacing w:after="120"/>
        <w:ind w:left="360"/>
      </w:pPr>
      <w:r>
        <w:t>The mass of nondegradable solid waste may be subtracted from the total mass of solid waste in a particular section of the landfill when calculating the value for M</w:t>
      </w:r>
      <w:r>
        <w:rPr>
          <w:vertAlign w:val="subscript"/>
        </w:rPr>
        <w:t>i</w:t>
      </w:r>
      <w:r>
        <w:t>, if documentation of the nature and amount of such wastes in maintained.  For landfills located in geographical areas with a 30-year annual average precipitation of less than 25 inches, as measured at the nearest representative meteorologic site, the k value to be used is 0.02 year</w:t>
      </w:r>
      <w:r>
        <w:rPr>
          <w:vertAlign w:val="superscript"/>
        </w:rPr>
        <w:t>-1</w:t>
      </w:r>
      <w:r>
        <w:t>.  [40 CFR 60.764(a)(1)(i)]</w:t>
      </w:r>
    </w:p>
    <w:p w14:paraId="0CF88BC3" w14:textId="1EC7985D" w:rsidR="003A1C9C" w:rsidRDefault="003A1C9C" w:rsidP="00281C47">
      <w:pPr>
        <w:pStyle w:val="ListParagraph"/>
        <w:keepLines/>
        <w:widowControl w:val="0"/>
        <w:numPr>
          <w:ilvl w:val="0"/>
          <w:numId w:val="2"/>
        </w:numPr>
        <w:tabs>
          <w:tab w:val="clear" w:pos="1296"/>
          <w:tab w:val="num" w:pos="720"/>
          <w:tab w:val="right" w:pos="10080"/>
        </w:tabs>
        <w:spacing w:after="120"/>
        <w:ind w:left="360" w:hanging="360"/>
      </w:pPr>
      <w:bookmarkStart w:id="27" w:name="SCA8"/>
      <w:bookmarkStart w:id="28" w:name="_Ref471215222"/>
      <w:bookmarkEnd w:id="27"/>
      <w:r w:rsidRPr="009C7754">
        <w:rPr>
          <w:u w:val="single"/>
        </w:rPr>
        <w:t xml:space="preserve">Calculation of </w:t>
      </w:r>
      <w:r w:rsidR="00BB403E" w:rsidRPr="009C7754">
        <w:rPr>
          <w:u w:val="single"/>
        </w:rPr>
        <w:t>the NMOC Emission Rate if Solid Waste Acceptance Rate is Unknown</w:t>
      </w:r>
      <w:r w:rsidR="00BB403E">
        <w:t>.  If the actual year-to-year solid waste acceptance rate is unknown, for part of the life of the landfill, then the landfill owner must calculate the NMOC emission rate using the following equation:</w:t>
      </w:r>
      <w:bookmarkEnd w:id="28"/>
    </w:p>
    <w:p w14:paraId="4920F15C" w14:textId="238FF826" w:rsidR="00AA2B8B" w:rsidRDefault="00221AA1" w:rsidP="00AA2B8B">
      <w:pPr>
        <w:keepLines/>
        <w:widowControl w:val="0"/>
        <w:tabs>
          <w:tab w:val="left" w:pos="720"/>
          <w:tab w:val="right" w:pos="10080"/>
        </w:tabs>
        <w:spacing w:after="120"/>
        <w:ind w:left="360"/>
      </w:pPr>
      <m:oMath>
        <m:sSub>
          <m:sSubPr>
            <m:ctrlPr>
              <w:rPr>
                <w:rFonts w:ascii="Cambria Math" w:hAnsi="Cambria Math"/>
                <w:i/>
              </w:rPr>
            </m:ctrlPr>
          </m:sSubPr>
          <m:e>
            <m:r>
              <w:rPr>
                <w:rFonts w:ascii="Cambria Math" w:hAnsi="Cambria Math"/>
              </w:rPr>
              <m:t>M</m:t>
            </m:r>
          </m:e>
          <m:sub>
            <m:r>
              <w:rPr>
                <w:rFonts w:ascii="Cambria Math" w:hAnsi="Cambria Math"/>
              </w:rPr>
              <m:t>NMOC</m:t>
            </m:r>
          </m:sub>
        </m:sSub>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o</m:t>
            </m:r>
          </m:sub>
        </m:sSub>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-kc</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-kt</m:t>
                </m:r>
              </m:sup>
            </m:sSup>
          </m:e>
        </m:d>
        <m:sSub>
          <m:sSubPr>
            <m:ctrlPr>
              <w:rPr>
                <w:rFonts w:ascii="Cambria Math" w:hAnsi="Cambria Math"/>
                <w:i/>
              </w:rPr>
            </m:ctrlPr>
          </m:sSubPr>
          <m:e>
            <m:r>
              <w:rPr>
                <w:rFonts w:ascii="Cambria Math" w:hAnsi="Cambria Math"/>
              </w:rPr>
              <m:t>C</m:t>
            </m:r>
          </m:e>
          <m:sub>
            <m:r>
              <w:rPr>
                <w:rFonts w:ascii="Cambria Math" w:hAnsi="Cambria Math"/>
              </w:rPr>
              <m:t>NMOC</m:t>
            </m:r>
          </m:sub>
        </m:sSub>
        <m:d>
          <m:dPr>
            <m:ctrlPr>
              <w:rPr>
                <w:rFonts w:ascii="Cambria Math" w:hAnsi="Cambria Math"/>
                <w:i/>
              </w:rPr>
            </m:ctrlPr>
          </m:dPr>
          <m:e>
            <m:r>
              <w:rPr>
                <w:rFonts w:ascii="Cambria Math" w:hAnsi="Cambria Math"/>
              </w:rPr>
              <m:t xml:space="preserve">3.6 </m:t>
            </m:r>
            <m:r>
              <m:rPr>
                <m:sty m:val="p"/>
              </m:rPr>
              <w:rPr>
                <w:rFonts w:ascii="Cambria Math" w:hAnsi="Cambria Math"/>
              </w:rPr>
              <m:t xml:space="preserve">x </m:t>
            </m:r>
            <m:sSup>
              <m:sSupPr>
                <m:ctrlPr>
                  <w:rPr>
                    <w:rFonts w:ascii="Cambria Math" w:hAnsi="Cambria Math"/>
                    <w:i/>
                  </w:rPr>
                </m:ctrlPr>
              </m:sSupPr>
              <m:e>
                <m:r>
                  <w:rPr>
                    <w:rFonts w:ascii="Cambria Math" w:hAnsi="Cambria Math"/>
                  </w:rPr>
                  <m:t>10</m:t>
                </m:r>
              </m:e>
              <m:sup>
                <m:r>
                  <w:rPr>
                    <w:rFonts w:ascii="Cambria Math" w:hAnsi="Cambria Math"/>
                  </w:rPr>
                  <m:t>-9</m:t>
                </m:r>
              </m:sup>
            </m:sSup>
          </m:e>
        </m:d>
      </m:oMath>
      <w:r w:rsidR="00AA2B8B">
        <w:t xml:space="preserve"> </w:t>
      </w:r>
    </w:p>
    <w:p w14:paraId="483C57E3" w14:textId="5AAF254A" w:rsidR="00AA2B8B" w:rsidRDefault="00AA2B8B" w:rsidP="00AA2B8B">
      <w:pPr>
        <w:keepLines/>
        <w:widowControl w:val="0"/>
        <w:tabs>
          <w:tab w:val="left" w:pos="720"/>
          <w:tab w:val="right" w:pos="10080"/>
        </w:tabs>
        <w:ind w:left="360"/>
      </w:pPr>
      <w:r>
        <w:t>Where:</w:t>
      </w:r>
    </w:p>
    <w:p w14:paraId="0C36659F" w14:textId="1197435D" w:rsidR="00AA2B8B" w:rsidRDefault="00AA2B8B" w:rsidP="00AA2B8B">
      <w:pPr>
        <w:keepLines/>
        <w:widowControl w:val="0"/>
        <w:tabs>
          <w:tab w:val="left" w:pos="720"/>
          <w:tab w:val="right" w:pos="10080"/>
        </w:tabs>
        <w:ind w:left="360"/>
      </w:pPr>
      <w:r>
        <w:t>M</w:t>
      </w:r>
      <w:r>
        <w:rPr>
          <w:vertAlign w:val="subscript"/>
        </w:rPr>
        <w:t>NMOC</w:t>
      </w:r>
      <w:r>
        <w:t xml:space="preserve"> = Mass emission rate of NMOC (megagrams/year)</w:t>
      </w:r>
    </w:p>
    <w:p w14:paraId="730014A2" w14:textId="569D123D" w:rsidR="00AA2B8B" w:rsidRPr="005C5971" w:rsidRDefault="00AA2B8B" w:rsidP="00AA2B8B">
      <w:pPr>
        <w:keepLines/>
        <w:widowControl w:val="0"/>
        <w:tabs>
          <w:tab w:val="left" w:pos="720"/>
          <w:tab w:val="right" w:pos="10080"/>
        </w:tabs>
        <w:ind w:left="360"/>
      </w:pPr>
      <w:r>
        <w:t>L</w:t>
      </w:r>
      <w:r>
        <w:rPr>
          <w:vertAlign w:val="subscript"/>
        </w:rPr>
        <w:t>o</w:t>
      </w:r>
      <w:r>
        <w:t xml:space="preserve"> = Methane generation potential (m</w:t>
      </w:r>
      <w:r>
        <w:rPr>
          <w:vertAlign w:val="superscript"/>
        </w:rPr>
        <w:t>3</w:t>
      </w:r>
      <w:r>
        <w:t>/megagram of solid waste)</w:t>
      </w:r>
      <w:r w:rsidR="005C5971">
        <w:t xml:space="preserve"> = 170 m</w:t>
      </w:r>
      <w:r w:rsidR="005C5971">
        <w:rPr>
          <w:vertAlign w:val="superscript"/>
        </w:rPr>
        <w:t>3</w:t>
      </w:r>
      <w:r w:rsidR="005C5971">
        <w:t>/megagram</w:t>
      </w:r>
    </w:p>
    <w:p w14:paraId="7E28EAEB" w14:textId="11AC3114" w:rsidR="00AA2B8B" w:rsidRDefault="00AA2B8B" w:rsidP="00AA2B8B">
      <w:pPr>
        <w:keepLines/>
        <w:widowControl w:val="0"/>
        <w:tabs>
          <w:tab w:val="left" w:pos="720"/>
          <w:tab w:val="right" w:pos="10080"/>
        </w:tabs>
        <w:ind w:left="360"/>
      </w:pPr>
      <w:r>
        <w:t>R = Average annual acceptance rate (megagrams/year)</w:t>
      </w:r>
    </w:p>
    <w:p w14:paraId="15E3770D" w14:textId="6DAF7B64" w:rsidR="00AA2B8B" w:rsidRPr="005C5971" w:rsidRDefault="00AA2B8B" w:rsidP="00AA2B8B">
      <w:pPr>
        <w:keepLines/>
        <w:widowControl w:val="0"/>
        <w:tabs>
          <w:tab w:val="left" w:pos="720"/>
          <w:tab w:val="right" w:pos="10080"/>
        </w:tabs>
        <w:ind w:left="360"/>
      </w:pPr>
      <w:r>
        <w:t>k = Methane generation rate constant (year</w:t>
      </w:r>
      <w:r>
        <w:rPr>
          <w:vertAlign w:val="superscript"/>
        </w:rPr>
        <w:t>-1</w:t>
      </w:r>
      <w:r>
        <w:t>)</w:t>
      </w:r>
      <w:r w:rsidR="005C5971">
        <w:t xml:space="preserve"> = 0.05 year</w:t>
      </w:r>
      <w:r w:rsidR="005C5971">
        <w:rPr>
          <w:vertAlign w:val="superscript"/>
        </w:rPr>
        <w:t>-1</w:t>
      </w:r>
    </w:p>
    <w:p w14:paraId="5229AA53" w14:textId="54B31A58" w:rsidR="00AA2B8B" w:rsidRDefault="00AA2B8B" w:rsidP="00AA2B8B">
      <w:pPr>
        <w:keepLines/>
        <w:widowControl w:val="0"/>
        <w:tabs>
          <w:tab w:val="left" w:pos="720"/>
          <w:tab w:val="right" w:pos="10080"/>
        </w:tabs>
        <w:ind w:left="360"/>
      </w:pPr>
      <w:r>
        <w:t>t = Age of landfill (years)</w:t>
      </w:r>
    </w:p>
    <w:p w14:paraId="76069222" w14:textId="77AE7410" w:rsidR="00AA2B8B" w:rsidRDefault="00AA2B8B" w:rsidP="00AA2B8B">
      <w:pPr>
        <w:keepLines/>
        <w:widowControl w:val="0"/>
        <w:tabs>
          <w:tab w:val="left" w:pos="720"/>
          <w:tab w:val="right" w:pos="10080"/>
        </w:tabs>
        <w:ind w:left="360"/>
      </w:pPr>
      <w:r>
        <w:t>C</w:t>
      </w:r>
      <w:r>
        <w:rPr>
          <w:vertAlign w:val="subscript"/>
        </w:rPr>
        <w:t>NMOC</w:t>
      </w:r>
      <w:r>
        <w:t xml:space="preserve"> = Concentration of NMOC (ppmv as hexane)</w:t>
      </w:r>
      <w:r w:rsidR="005C5971">
        <w:t xml:space="preserve"> = 4,000 ppmv as hexane</w:t>
      </w:r>
    </w:p>
    <w:p w14:paraId="58561D87" w14:textId="46BF6D93" w:rsidR="005C5971" w:rsidRDefault="00AA2B8B" w:rsidP="005C5971">
      <w:pPr>
        <w:keepLines/>
        <w:widowControl w:val="0"/>
        <w:tabs>
          <w:tab w:val="left" w:pos="720"/>
          <w:tab w:val="right" w:pos="10080"/>
        </w:tabs>
        <w:spacing w:after="120"/>
        <w:ind w:left="360"/>
      </w:pPr>
      <w:r>
        <w:t>c = Time since closure (years); for active landfill c = 0 and e</w:t>
      </w:r>
      <w:r>
        <w:rPr>
          <w:vertAlign w:val="superscript"/>
        </w:rPr>
        <w:t>-kc</w:t>
      </w:r>
      <w:r>
        <w:t xml:space="preserve"> = 1</w:t>
      </w:r>
    </w:p>
    <w:p w14:paraId="38DB6915" w14:textId="1455CA89" w:rsidR="005C5971" w:rsidRDefault="005C5971" w:rsidP="005C5971">
      <w:pPr>
        <w:keepLines/>
        <w:widowControl w:val="0"/>
        <w:tabs>
          <w:tab w:val="left" w:pos="720"/>
          <w:tab w:val="right" w:pos="10080"/>
        </w:tabs>
        <w:spacing w:after="120"/>
        <w:ind w:left="360"/>
      </w:pPr>
      <w:r>
        <w:t>The mass of nondegradable solid waste may be subtracted from the total mass of solid waste in a particular section of the landfill when calculating the value of R, if documentation of the nature and amount of such wastes in maintained.  For landfills located in geographical areas with a 30-year annual average precipitation of less than 25 inches, as measured at the nearest representative meteorologic site, the k value to be used is 0.02 year</w:t>
      </w:r>
      <w:r>
        <w:rPr>
          <w:vertAlign w:val="superscript"/>
        </w:rPr>
        <w:t>-1</w:t>
      </w:r>
      <w:r>
        <w:t>.  [40 CFR 60.764(a)(1)(ii)]</w:t>
      </w:r>
    </w:p>
    <w:p w14:paraId="2F6DA02E" w14:textId="47E47739" w:rsidR="009C7754" w:rsidRDefault="00A42EC4" w:rsidP="00D61ECF">
      <w:pPr>
        <w:pStyle w:val="ListParagraph"/>
        <w:keepLines/>
        <w:widowControl w:val="0"/>
        <w:numPr>
          <w:ilvl w:val="0"/>
          <w:numId w:val="2"/>
        </w:numPr>
        <w:tabs>
          <w:tab w:val="clear" w:pos="1296"/>
          <w:tab w:val="num" w:pos="720"/>
          <w:tab w:val="right" w:pos="10080"/>
        </w:tabs>
        <w:ind w:left="360" w:hanging="360"/>
      </w:pPr>
      <w:bookmarkStart w:id="29" w:name="SCA9"/>
      <w:bookmarkStart w:id="30" w:name="_Ref473181644"/>
      <w:bookmarkEnd w:id="29"/>
      <w:r w:rsidRPr="009C7754">
        <w:rPr>
          <w:u w:val="single"/>
        </w:rPr>
        <w:t>Tier 1 Testing</w:t>
      </w:r>
      <w:r>
        <w:t>.  The owner or operator must compare the calculated NMOC mass emission rate to the standard of 34 megagrams per year.</w:t>
      </w:r>
      <w:bookmarkEnd w:id="30"/>
      <w:r>
        <w:t xml:space="preserve">  </w:t>
      </w:r>
    </w:p>
    <w:p w14:paraId="22BEA9F7" w14:textId="3DB380F5" w:rsidR="009C7754" w:rsidRDefault="009C7754" w:rsidP="004D17E2">
      <w:pPr>
        <w:pStyle w:val="ListParagraph"/>
        <w:keepLines/>
        <w:widowControl w:val="0"/>
        <w:numPr>
          <w:ilvl w:val="0"/>
          <w:numId w:val="10"/>
        </w:numPr>
        <w:tabs>
          <w:tab w:val="left" w:pos="720"/>
          <w:tab w:val="left" w:pos="1350"/>
          <w:tab w:val="right" w:pos="10080"/>
        </w:tabs>
        <w:ind w:left="720"/>
      </w:pPr>
      <w:r>
        <w:t xml:space="preserve">If the NMOC emission rate as calculated in </w:t>
      </w:r>
      <w:hyperlink w:anchor="SCA7" w:tooltip=" " w:history="1">
        <w:r w:rsidRPr="00FE0C03">
          <w:rPr>
            <w:rStyle w:val="Hyperlink"/>
            <w:b/>
            <w:color w:val="auto"/>
            <w:u w:val="none"/>
          </w:rPr>
          <w:t>Specific Condition A.</w:t>
        </w:r>
        <w:r w:rsidR="00B664C1" w:rsidRPr="00FE0C03">
          <w:rPr>
            <w:rStyle w:val="Hyperlink"/>
            <w:b/>
            <w:color w:val="auto"/>
            <w:u w:val="none"/>
          </w:rPr>
          <w:t>7</w:t>
        </w:r>
        <w:r w:rsidR="00CB258D" w:rsidRPr="00FE0C03">
          <w:rPr>
            <w:rStyle w:val="Hyperlink"/>
            <w:b/>
            <w:color w:val="auto"/>
            <w:u w:val="none"/>
          </w:rPr>
          <w:t>.</w:t>
        </w:r>
      </w:hyperlink>
      <w:r w:rsidRPr="00FE0C03">
        <w:t xml:space="preserve"> </w:t>
      </w:r>
      <w:r>
        <w:t xml:space="preserve">or </w:t>
      </w:r>
      <w:hyperlink w:anchor="SCA8" w:tooltip=" " w:history="1">
        <w:r w:rsidRPr="00FE0C03">
          <w:rPr>
            <w:rStyle w:val="Hyperlink"/>
            <w:b/>
            <w:color w:val="auto"/>
            <w:u w:val="none"/>
          </w:rPr>
          <w:t>Specific Condition A.</w:t>
        </w:r>
        <w:r w:rsidR="00B664C1" w:rsidRPr="00FE0C03">
          <w:rPr>
            <w:rStyle w:val="Hyperlink"/>
            <w:b/>
            <w:color w:val="auto"/>
            <w:u w:val="none"/>
          </w:rPr>
          <w:t>8</w:t>
        </w:r>
        <w:r w:rsidR="00CB258D" w:rsidRPr="00FE0C03">
          <w:rPr>
            <w:rStyle w:val="Hyperlink"/>
            <w:b/>
            <w:color w:val="auto"/>
            <w:u w:val="none"/>
          </w:rPr>
          <w:t>.</w:t>
        </w:r>
      </w:hyperlink>
      <w:r>
        <w:t xml:space="preserve"> is less than 34 megagrams per year, then the landfill owner or operator must submit an NMOC emission rate report according to 40 CFR 60.767(b)</w:t>
      </w:r>
      <w:r w:rsidR="00D87F92">
        <w:t xml:space="preserve"> (</w:t>
      </w:r>
      <w:hyperlink w:anchor="SCA15" w:tooltip=" " w:history="1">
        <w:r w:rsidR="00D87F92" w:rsidRPr="007A6DC5">
          <w:rPr>
            <w:rStyle w:val="Hyperlink"/>
            <w:b/>
            <w:color w:val="auto"/>
            <w:u w:val="none"/>
          </w:rPr>
          <w:t>Specific Condition A.15.</w:t>
        </w:r>
      </w:hyperlink>
      <w:r w:rsidR="00D87F92">
        <w:rPr>
          <w:rStyle w:val="Hyperlink"/>
          <w:b/>
          <w:color w:val="auto"/>
          <w:u w:val="none"/>
        </w:rPr>
        <w:t>)</w:t>
      </w:r>
      <w:r>
        <w:t>, and must recalculate the NMOC mass emission rate under</w:t>
      </w:r>
      <w:r w:rsidR="00EA755E">
        <w:t xml:space="preserve"> 40 CFR 60.762(b).</w:t>
      </w:r>
    </w:p>
    <w:p w14:paraId="57D0C380" w14:textId="1E64CDDF" w:rsidR="00EA755E" w:rsidRDefault="00EA755E" w:rsidP="004D17E2">
      <w:pPr>
        <w:pStyle w:val="ListParagraph"/>
        <w:keepLines/>
        <w:widowControl w:val="0"/>
        <w:numPr>
          <w:ilvl w:val="0"/>
          <w:numId w:val="10"/>
        </w:numPr>
        <w:tabs>
          <w:tab w:val="left" w:pos="720"/>
          <w:tab w:val="left" w:pos="1350"/>
          <w:tab w:val="right" w:pos="10080"/>
        </w:tabs>
        <w:ind w:left="720"/>
      </w:pPr>
      <w:r>
        <w:t xml:space="preserve">If the calculated NMOC emission rate as calculated in </w:t>
      </w:r>
      <w:hyperlink w:anchor="SCA7" w:tooltip=" " w:history="1">
        <w:r w:rsidR="00174157" w:rsidRPr="00FE0C03">
          <w:rPr>
            <w:rStyle w:val="Hyperlink"/>
            <w:b/>
            <w:color w:val="auto"/>
            <w:u w:val="none"/>
          </w:rPr>
          <w:t>Specific Condition A.7.</w:t>
        </w:r>
      </w:hyperlink>
      <w:r w:rsidR="00174157" w:rsidRPr="00013BC3">
        <w:t xml:space="preserve"> </w:t>
      </w:r>
      <w:r>
        <w:t>or</w:t>
      </w:r>
      <w:r w:rsidR="00013BC3">
        <w:t xml:space="preserve"> </w:t>
      </w:r>
      <w:hyperlink w:anchor="SCA8" w:tooltip=" " w:history="1">
        <w:r w:rsidR="00013BC3" w:rsidRPr="00FE0C03">
          <w:rPr>
            <w:rStyle w:val="Hyperlink"/>
            <w:b/>
            <w:color w:val="auto"/>
            <w:u w:val="none"/>
          </w:rPr>
          <w:t>Specific Condition A.8.</w:t>
        </w:r>
      </w:hyperlink>
      <w:r w:rsidR="00D33DF4">
        <w:t xml:space="preserve"> is equal to or greater than 34 megagrams per year, then the landfill owner must either:</w:t>
      </w:r>
    </w:p>
    <w:p w14:paraId="53AB9202" w14:textId="4538503A" w:rsidR="00D33DF4" w:rsidRDefault="00D33DF4" w:rsidP="004D17E2">
      <w:pPr>
        <w:pStyle w:val="ListParagraph"/>
        <w:keepLines/>
        <w:widowControl w:val="0"/>
        <w:numPr>
          <w:ilvl w:val="0"/>
          <w:numId w:val="11"/>
        </w:numPr>
        <w:tabs>
          <w:tab w:val="left" w:pos="720"/>
          <w:tab w:val="left" w:pos="1350"/>
          <w:tab w:val="right" w:pos="10080"/>
        </w:tabs>
        <w:ind w:left="1080"/>
      </w:pPr>
      <w:r>
        <w:t>Submit a gas collection and control system design plan within 1 year as specified in 40 CFR 60.767(c) and install and operate a gas collection and control system within 30 months according to 40 CFR 60.762(b)(2)(ii) and (iii);</w:t>
      </w:r>
    </w:p>
    <w:p w14:paraId="1C6A9F2F" w14:textId="232E1DAF" w:rsidR="00D33DF4" w:rsidRDefault="00D33DF4" w:rsidP="004D17E2">
      <w:pPr>
        <w:pStyle w:val="ListParagraph"/>
        <w:keepLines/>
        <w:widowControl w:val="0"/>
        <w:numPr>
          <w:ilvl w:val="0"/>
          <w:numId w:val="11"/>
        </w:numPr>
        <w:tabs>
          <w:tab w:val="left" w:pos="720"/>
          <w:tab w:val="left" w:pos="1350"/>
          <w:tab w:val="right" w:pos="10080"/>
        </w:tabs>
        <w:ind w:left="1080"/>
      </w:pPr>
      <w:r>
        <w:t xml:space="preserve">Determine a site-specific NMOC concentration and recalculate the NMOC emission rate using the Tier 2 procedures provided in </w:t>
      </w:r>
      <w:hyperlink w:anchor="SCA10" w:tooltip=" " w:history="1">
        <w:r w:rsidRPr="00013BC3">
          <w:rPr>
            <w:rStyle w:val="Hyperlink"/>
            <w:b/>
            <w:color w:val="auto"/>
            <w:u w:val="none"/>
          </w:rPr>
          <w:t>Specific Condition A.</w:t>
        </w:r>
        <w:r w:rsidR="00013BC3" w:rsidRPr="00013BC3">
          <w:rPr>
            <w:rStyle w:val="Hyperlink"/>
            <w:b/>
            <w:color w:val="auto"/>
            <w:u w:val="none"/>
          </w:rPr>
          <w:t>10</w:t>
        </w:r>
        <w:r w:rsidR="00CB258D" w:rsidRPr="00013BC3">
          <w:rPr>
            <w:rStyle w:val="Hyperlink"/>
            <w:b/>
            <w:color w:val="auto"/>
            <w:u w:val="none"/>
          </w:rPr>
          <w:t>.</w:t>
        </w:r>
      </w:hyperlink>
      <w:r>
        <w:t>; or</w:t>
      </w:r>
    </w:p>
    <w:p w14:paraId="5AD2C1C2" w14:textId="7C3168D4" w:rsidR="00131897" w:rsidRPr="00131897" w:rsidRDefault="00D33DF4" w:rsidP="004D17E2">
      <w:pPr>
        <w:pStyle w:val="ListParagraph"/>
        <w:keepLines/>
        <w:widowControl w:val="0"/>
        <w:numPr>
          <w:ilvl w:val="0"/>
          <w:numId w:val="11"/>
        </w:numPr>
        <w:tabs>
          <w:tab w:val="left" w:pos="720"/>
          <w:tab w:val="left" w:pos="1350"/>
          <w:tab w:val="right" w:pos="10080"/>
        </w:tabs>
        <w:ind w:left="1080"/>
        <w:contextualSpacing w:val="0"/>
      </w:pPr>
      <w:r>
        <w:lastRenderedPageBreak/>
        <w:t xml:space="preserve">Determine a site-specific methane generation rate constant and recalculate the NMOC emission rate using the Tier 3 procedures provided in </w:t>
      </w:r>
      <w:hyperlink w:anchor="SCA11" w:tooltip=" " w:history="1">
        <w:r w:rsidRPr="00013BC3">
          <w:rPr>
            <w:rStyle w:val="Hyperlink"/>
            <w:b/>
            <w:color w:val="auto"/>
            <w:u w:val="none"/>
          </w:rPr>
          <w:t>Specific Condition A.</w:t>
        </w:r>
        <w:r w:rsidR="00013BC3" w:rsidRPr="00013BC3">
          <w:rPr>
            <w:rStyle w:val="Hyperlink"/>
            <w:b/>
            <w:color w:val="auto"/>
            <w:u w:val="none"/>
          </w:rPr>
          <w:t>11</w:t>
        </w:r>
        <w:r w:rsidR="00CB258D" w:rsidRPr="00013BC3">
          <w:rPr>
            <w:rStyle w:val="Hyperlink"/>
            <w:b/>
            <w:color w:val="auto"/>
            <w:u w:val="none"/>
          </w:rPr>
          <w:t>.</w:t>
        </w:r>
      </w:hyperlink>
    </w:p>
    <w:p w14:paraId="275C5FEF" w14:textId="1F5A5082" w:rsidR="00131897" w:rsidRDefault="00131897" w:rsidP="00D61ECF">
      <w:pPr>
        <w:keepLines/>
        <w:widowControl w:val="0"/>
        <w:tabs>
          <w:tab w:val="left" w:pos="720"/>
          <w:tab w:val="left" w:pos="1350"/>
          <w:tab w:val="right" w:pos="10080"/>
        </w:tabs>
        <w:ind w:left="360"/>
      </w:pPr>
      <w:r>
        <w:t>[40 CFR 60.764(a)(2)]</w:t>
      </w:r>
    </w:p>
    <w:p w14:paraId="42B0B0D6" w14:textId="14643E77" w:rsidR="00D33DF4" w:rsidRDefault="00843F95" w:rsidP="004D17E2">
      <w:pPr>
        <w:pStyle w:val="ListParagraph"/>
        <w:keepLines/>
        <w:widowControl w:val="0"/>
        <w:numPr>
          <w:ilvl w:val="0"/>
          <w:numId w:val="2"/>
        </w:numPr>
        <w:tabs>
          <w:tab w:val="left" w:pos="720"/>
          <w:tab w:val="left" w:pos="1350"/>
          <w:tab w:val="right" w:pos="10080"/>
        </w:tabs>
        <w:spacing w:before="120"/>
        <w:ind w:left="360" w:hanging="360"/>
        <w:contextualSpacing w:val="0"/>
      </w:pPr>
      <w:bookmarkStart w:id="31" w:name="SCA10"/>
      <w:bookmarkEnd w:id="31"/>
      <w:r>
        <w:rPr>
          <w:u w:val="single"/>
        </w:rPr>
        <w:t>Tier 2 Testing</w:t>
      </w:r>
      <w:r>
        <w:t xml:space="preserve">.  </w:t>
      </w:r>
      <w:r w:rsidR="00253E4E">
        <w:t xml:space="preserve">If the owner or operator elects to perform Tier 2 testing, then it is subject to this condition.  </w:t>
      </w:r>
      <w:r w:rsidRPr="00843F95">
        <w:t xml:space="preserve">The landfill owner or operator must determine the site-specific NMOC concentration using the following sampling procedure. </w:t>
      </w:r>
      <w:r>
        <w:t xml:space="preserve"> </w:t>
      </w:r>
      <w:r w:rsidRPr="00843F95">
        <w:t xml:space="preserve">The landfill owner or operator must install at least two sample probes per hectare, evenly distributed over the landfill surface that has retained waste for at least 2 years. </w:t>
      </w:r>
      <w:r>
        <w:t xml:space="preserve"> </w:t>
      </w:r>
      <w:r w:rsidRPr="00843F95">
        <w:t xml:space="preserve">If the landfill is larger than 25 hectares in area, only 50 samples are required. </w:t>
      </w:r>
      <w:r>
        <w:t xml:space="preserve"> </w:t>
      </w:r>
      <w:r w:rsidRPr="00843F95">
        <w:t xml:space="preserve">The probes should be evenly distributed across the sample area. </w:t>
      </w:r>
      <w:r>
        <w:t xml:space="preserve"> </w:t>
      </w:r>
      <w:r w:rsidRPr="00843F95">
        <w:t xml:space="preserve">The sample probes should be located to avoid known areas of nondegradable solid waste. </w:t>
      </w:r>
      <w:r>
        <w:t xml:space="preserve"> </w:t>
      </w:r>
      <w:r w:rsidRPr="00843F95">
        <w:t xml:space="preserve">The owner or operator must collect and analyze one sample of landfill gas from each probe to determine the NMOC concentration using Method 25 or 25C of appendix A of this </w:t>
      </w:r>
      <w:r>
        <w:t>40 CFR Part 60</w:t>
      </w:r>
      <w:r w:rsidRPr="00843F95">
        <w:t xml:space="preserve">. </w:t>
      </w:r>
      <w:r>
        <w:t xml:space="preserve"> </w:t>
      </w:r>
      <w:r w:rsidRPr="00843F95">
        <w:t xml:space="preserve">Taking composite samples from different probes into a single cylinder is allowed; however, equal sample volumes must be taken from each probe. </w:t>
      </w:r>
      <w:r>
        <w:t xml:space="preserve"> </w:t>
      </w:r>
      <w:r w:rsidRPr="00843F95">
        <w:t xml:space="preserve">For each composite, the sampling rate, collection times, beginning and ending cylinder vacuums, or alternative volume measurements must be recorded to verify that composite volumes are equal. </w:t>
      </w:r>
      <w:r>
        <w:t xml:space="preserve"> </w:t>
      </w:r>
      <w:r w:rsidRPr="00843F95">
        <w:t>Composite sample volumes should not be less than one liter unless evidence can be provided to substantiate the accuracy of smaller volumes.</w:t>
      </w:r>
      <w:r>
        <w:t xml:space="preserve"> </w:t>
      </w:r>
      <w:r w:rsidRPr="00843F95">
        <w:t xml:space="preserve"> Terminate compositing before the cylinder approaches ambient pressure where measurement accuracy diminishes.</w:t>
      </w:r>
      <w:r>
        <w:t xml:space="preserve"> </w:t>
      </w:r>
      <w:r w:rsidRPr="00843F95">
        <w:t xml:space="preserve"> If more than the required number of samples are taken, all samples must be used in the analysis. </w:t>
      </w:r>
      <w:r>
        <w:t xml:space="preserve"> </w:t>
      </w:r>
      <w:r w:rsidRPr="00843F95">
        <w:t>The landfill owner or operator must divide the NMOC concentration from Method 25 or 25C of appendix A of this part by six to convert from C</w:t>
      </w:r>
      <w:r w:rsidRPr="00843F95">
        <w:rPr>
          <w:vertAlign w:val="subscript"/>
        </w:rPr>
        <w:t>NMOC</w:t>
      </w:r>
      <w:r>
        <w:t xml:space="preserve"> </w:t>
      </w:r>
      <w:r w:rsidRPr="00843F95">
        <w:t>as carbon to C</w:t>
      </w:r>
      <w:r w:rsidRPr="00843F95">
        <w:rPr>
          <w:vertAlign w:val="subscript"/>
        </w:rPr>
        <w:t>NMOC</w:t>
      </w:r>
      <w:r>
        <w:t xml:space="preserve"> </w:t>
      </w:r>
      <w:r w:rsidRPr="00843F95">
        <w:t xml:space="preserve">as hexane. </w:t>
      </w:r>
      <w:r>
        <w:t xml:space="preserve"> </w:t>
      </w:r>
      <w:r w:rsidRPr="00843F95">
        <w:t xml:space="preserve">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w:t>
      </w:r>
      <w:r>
        <w:t xml:space="preserve"> </w:t>
      </w:r>
      <w:r w:rsidRPr="00843F95">
        <w:t xml:space="preserve">For active collection systems, samples may be collected from the common header pipe. </w:t>
      </w:r>
      <w:r>
        <w:t xml:space="preserve"> </w:t>
      </w:r>
      <w:r w:rsidRPr="00843F95">
        <w:t>The sample location on the common header pipe must be before any gas moving, condensate removal, or treatment system equipment.</w:t>
      </w:r>
      <w:r>
        <w:t xml:space="preserve"> </w:t>
      </w:r>
      <w:r w:rsidRPr="00843F95">
        <w:t xml:space="preserve"> For active collection systems, a minimum of three samples must be collected from the header pipe.</w:t>
      </w:r>
    </w:p>
    <w:p w14:paraId="2412A92E" w14:textId="7A6257EA" w:rsidR="00843F95" w:rsidRDefault="00131897" w:rsidP="004D17E2">
      <w:pPr>
        <w:pStyle w:val="ListParagraph"/>
        <w:keepLines/>
        <w:widowControl w:val="0"/>
        <w:numPr>
          <w:ilvl w:val="0"/>
          <w:numId w:val="12"/>
        </w:numPr>
        <w:tabs>
          <w:tab w:val="left" w:pos="720"/>
          <w:tab w:val="right" w:pos="10080"/>
        </w:tabs>
        <w:contextualSpacing w:val="0"/>
      </w:pPr>
      <w:bookmarkStart w:id="32" w:name="SCA10a"/>
      <w:bookmarkEnd w:id="32"/>
      <w:r>
        <w:t xml:space="preserve">The landfill owner or operator must recalculate the NMOC mass emission rate using the equations in </w:t>
      </w:r>
      <w:hyperlink w:anchor="SCA7" w:tooltip=" " w:history="1">
        <w:r w:rsidR="00013BC3" w:rsidRPr="00FE0C03">
          <w:rPr>
            <w:rStyle w:val="Hyperlink"/>
            <w:b/>
            <w:color w:val="auto"/>
            <w:u w:val="none"/>
          </w:rPr>
          <w:t>Specific Condition A.7.</w:t>
        </w:r>
      </w:hyperlink>
      <w:r w:rsidR="00013BC3" w:rsidRPr="00013BC3">
        <w:t xml:space="preserve"> </w:t>
      </w:r>
      <w:r w:rsidR="00013BC3">
        <w:t xml:space="preserve">or </w:t>
      </w:r>
      <w:hyperlink w:anchor="SCA8" w:tooltip=" " w:history="1">
        <w:r w:rsidR="00013BC3" w:rsidRPr="00FE0C03">
          <w:rPr>
            <w:rStyle w:val="Hyperlink"/>
            <w:b/>
            <w:color w:val="auto"/>
            <w:u w:val="none"/>
          </w:rPr>
          <w:t>Specific Condition A.8.</w:t>
        </w:r>
      </w:hyperlink>
      <w:r w:rsidR="00013BC3">
        <w:t xml:space="preserve"> </w:t>
      </w:r>
      <w:r>
        <w:t xml:space="preserve">and using the average site-specific NMOC concentration from the collected samples instead of the default value provided in </w:t>
      </w:r>
      <w:hyperlink w:anchor="SCA7" w:tooltip=" " w:history="1">
        <w:r w:rsidR="00013BC3" w:rsidRPr="00FE0C03">
          <w:rPr>
            <w:rStyle w:val="Hyperlink"/>
            <w:b/>
            <w:color w:val="auto"/>
            <w:u w:val="none"/>
          </w:rPr>
          <w:t>Specific Condition A.7.</w:t>
        </w:r>
      </w:hyperlink>
      <w:r w:rsidR="00013BC3" w:rsidRPr="00013BC3">
        <w:t xml:space="preserve"> </w:t>
      </w:r>
      <w:r w:rsidR="00013BC3">
        <w:t xml:space="preserve">or </w:t>
      </w:r>
      <w:hyperlink w:anchor="SCA8" w:tooltip=" " w:history="1">
        <w:r w:rsidR="00013BC3" w:rsidRPr="00FE0C03">
          <w:rPr>
            <w:rStyle w:val="Hyperlink"/>
            <w:b/>
            <w:color w:val="auto"/>
            <w:u w:val="none"/>
          </w:rPr>
          <w:t>Specific Condition A.8.</w:t>
        </w:r>
      </w:hyperlink>
    </w:p>
    <w:p w14:paraId="5C9D00FA" w14:textId="3B9B36B6" w:rsidR="004E4F19" w:rsidRDefault="004E4F19" w:rsidP="00180346">
      <w:pPr>
        <w:pStyle w:val="ListParagraph"/>
        <w:keepLines/>
        <w:widowControl w:val="0"/>
        <w:numPr>
          <w:ilvl w:val="0"/>
          <w:numId w:val="12"/>
        </w:numPr>
        <w:tabs>
          <w:tab w:val="left" w:pos="720"/>
          <w:tab w:val="right" w:pos="10080"/>
        </w:tabs>
        <w:contextualSpacing w:val="0"/>
      </w:pPr>
      <w:r>
        <w:t xml:space="preserve">If the resulting NMOC mass emission rate is less than 34 megagrams per year, then the owner or operator must submit a periodic estimate of NMOC emissions in an NMOC emission rate report according to </w:t>
      </w:r>
      <w:hyperlink w:anchor="SCA15" w:tooltip=" " w:history="1">
        <w:r w:rsidRPr="00115F98">
          <w:rPr>
            <w:rStyle w:val="Hyperlink"/>
            <w:b/>
            <w:color w:val="auto"/>
            <w:u w:val="none"/>
          </w:rPr>
          <w:t>Specific Condit</w:t>
        </w:r>
        <w:r w:rsidR="00281C47" w:rsidRPr="00115F98">
          <w:rPr>
            <w:rStyle w:val="Hyperlink"/>
            <w:b/>
            <w:color w:val="auto"/>
            <w:u w:val="none"/>
          </w:rPr>
          <w:t>i</w:t>
        </w:r>
        <w:r w:rsidRPr="00115F98">
          <w:rPr>
            <w:rStyle w:val="Hyperlink"/>
            <w:b/>
            <w:color w:val="auto"/>
            <w:u w:val="none"/>
          </w:rPr>
          <w:t>on A.</w:t>
        </w:r>
        <w:r w:rsidR="00E668AF" w:rsidRPr="00115F98">
          <w:rPr>
            <w:rStyle w:val="Hyperlink"/>
            <w:b/>
            <w:color w:val="auto"/>
            <w:u w:val="none"/>
          </w:rPr>
          <w:t>1</w:t>
        </w:r>
        <w:r w:rsidR="00C97130" w:rsidRPr="00115F98">
          <w:rPr>
            <w:rStyle w:val="Hyperlink"/>
            <w:b/>
            <w:color w:val="auto"/>
            <w:u w:val="none"/>
          </w:rPr>
          <w:t>5</w:t>
        </w:r>
        <w:r w:rsidR="00CB258D" w:rsidRPr="00115F98">
          <w:rPr>
            <w:rStyle w:val="Hyperlink"/>
            <w:b/>
            <w:color w:val="auto"/>
            <w:u w:val="none"/>
          </w:rPr>
          <w:t>.</w:t>
        </w:r>
      </w:hyperlink>
      <w:r>
        <w:t xml:space="preserve">, and must recalculate the NMOC mass emission rate annually as required under 40 CFR 60.762(b).  The site-specific NMOC concentration must be retested every 5 years using the methods specified in this section.  </w:t>
      </w:r>
    </w:p>
    <w:p w14:paraId="1D7D0A9D" w14:textId="6667B04A" w:rsidR="00142915" w:rsidRDefault="00142915" w:rsidP="00142915">
      <w:pPr>
        <w:pStyle w:val="ListParagraph"/>
        <w:keepLines/>
        <w:widowControl w:val="0"/>
        <w:numPr>
          <w:ilvl w:val="0"/>
          <w:numId w:val="12"/>
        </w:numPr>
        <w:tabs>
          <w:tab w:val="left" w:pos="720"/>
          <w:tab w:val="right" w:pos="10080"/>
        </w:tabs>
        <w:contextualSpacing w:val="0"/>
      </w:pPr>
      <w:r>
        <w:t>If the NMOC mass emission rate as calculated using the Tier 2 site-specific NMOC concentration is equal to or greater than 34 megagrams per year, the landfill owner or operator must either:</w:t>
      </w:r>
    </w:p>
    <w:p w14:paraId="32E2F2DB" w14:textId="48B4C59B" w:rsidR="00142915" w:rsidRDefault="00142915" w:rsidP="00180346">
      <w:pPr>
        <w:pStyle w:val="ListParagraph"/>
        <w:keepLines/>
        <w:widowControl w:val="0"/>
        <w:numPr>
          <w:ilvl w:val="0"/>
          <w:numId w:val="18"/>
        </w:numPr>
        <w:tabs>
          <w:tab w:val="left" w:pos="720"/>
          <w:tab w:val="right" w:pos="10080"/>
        </w:tabs>
        <w:ind w:left="1080"/>
        <w:contextualSpacing w:val="0"/>
      </w:pPr>
      <w:r>
        <w:t xml:space="preserve">Submit a gas collection and control system design plan </w:t>
      </w:r>
      <w:r w:rsidR="00180346">
        <w:t>within 1 year as specified</w:t>
      </w:r>
      <w:r w:rsidR="00DA1670">
        <w:t xml:space="preserve"> in</w:t>
      </w:r>
      <w:r w:rsidR="00180346">
        <w:t xml:space="preserve"> </w:t>
      </w:r>
      <w:hyperlink w:anchor="SCA16" w:history="1">
        <w:r w:rsidR="00180346" w:rsidRPr="00115F98">
          <w:rPr>
            <w:rStyle w:val="Hyperlink"/>
            <w:b/>
            <w:color w:val="auto"/>
            <w:u w:val="none"/>
          </w:rPr>
          <w:t>Specific Condition A.</w:t>
        </w:r>
        <w:r w:rsidR="00E668AF" w:rsidRPr="00115F98">
          <w:rPr>
            <w:rStyle w:val="Hyperlink"/>
            <w:b/>
            <w:color w:val="auto"/>
            <w:u w:val="none"/>
          </w:rPr>
          <w:t>1</w:t>
        </w:r>
        <w:r w:rsidR="00115F98" w:rsidRPr="00115F98">
          <w:rPr>
            <w:rStyle w:val="Hyperlink"/>
            <w:b/>
            <w:color w:val="auto"/>
            <w:u w:val="none"/>
          </w:rPr>
          <w:t>6</w:t>
        </w:r>
        <w:r w:rsidR="00CB258D" w:rsidRPr="00115F98">
          <w:rPr>
            <w:rStyle w:val="Hyperlink"/>
            <w:b/>
            <w:color w:val="auto"/>
            <w:u w:val="none"/>
          </w:rPr>
          <w:t>.</w:t>
        </w:r>
      </w:hyperlink>
      <w:r w:rsidR="00180346">
        <w:t xml:space="preserve"> </w:t>
      </w:r>
      <w:r w:rsidRPr="00180346">
        <w:t>and</w:t>
      </w:r>
      <w:r>
        <w:t xml:space="preserve"> </w:t>
      </w:r>
      <w:r w:rsidR="00C15FF8">
        <w:t>install and operate a gas collection and control system within 30 months according to</w:t>
      </w:r>
      <w:r>
        <w:t xml:space="preserve"> </w:t>
      </w:r>
      <w:hyperlink w:anchor="SCA4" w:tooltip=" " w:history="1">
        <w:r w:rsidR="00DA1670" w:rsidRPr="00115F98">
          <w:rPr>
            <w:rStyle w:val="Hyperlink"/>
            <w:b/>
            <w:color w:val="auto"/>
            <w:u w:val="none"/>
          </w:rPr>
          <w:t>Specific Condition A.4</w:t>
        </w:r>
        <w:r w:rsidR="00180346" w:rsidRPr="00115F98">
          <w:rPr>
            <w:rStyle w:val="Hyperlink"/>
            <w:b/>
            <w:color w:val="auto"/>
            <w:u w:val="none"/>
          </w:rPr>
          <w:t>.</w:t>
        </w:r>
      </w:hyperlink>
      <w:r w:rsidR="00180346" w:rsidRPr="00115F98">
        <w:t xml:space="preserve">  </w:t>
      </w:r>
    </w:p>
    <w:p w14:paraId="7ED66405" w14:textId="0E83CF5F" w:rsidR="00180346" w:rsidRDefault="00C15FF8" w:rsidP="00A34CD5">
      <w:pPr>
        <w:pStyle w:val="ListParagraph"/>
        <w:keepLines/>
        <w:widowControl w:val="0"/>
        <w:numPr>
          <w:ilvl w:val="0"/>
          <w:numId w:val="18"/>
        </w:numPr>
        <w:tabs>
          <w:tab w:val="left" w:pos="720"/>
          <w:tab w:val="right" w:pos="10080"/>
        </w:tabs>
        <w:ind w:left="1080"/>
        <w:contextualSpacing w:val="0"/>
      </w:pPr>
      <w:r>
        <w:t xml:space="preserve">Determine a site-specific methane generation rate constant and recalculate the NMOC emission rate using the site-specific methane generation rate using the Tier 3 procedures specified in </w:t>
      </w:r>
      <w:hyperlink w:anchor="SCA11" w:tooltip=" " w:history="1">
        <w:r w:rsidR="00115F98" w:rsidRPr="00115F98">
          <w:rPr>
            <w:rStyle w:val="Hyperlink"/>
            <w:b/>
            <w:color w:val="auto"/>
            <w:u w:val="none"/>
          </w:rPr>
          <w:t>Specific Condition A.11</w:t>
        </w:r>
        <w:r w:rsidR="00CB258D" w:rsidRPr="00115F98">
          <w:rPr>
            <w:rStyle w:val="Hyperlink"/>
            <w:b/>
            <w:color w:val="auto"/>
            <w:u w:val="none"/>
          </w:rPr>
          <w:t>.</w:t>
        </w:r>
      </w:hyperlink>
      <w:r>
        <w:t>; or</w:t>
      </w:r>
    </w:p>
    <w:p w14:paraId="056F4D14" w14:textId="25A2187D" w:rsidR="00C15FF8" w:rsidRDefault="00C15FF8" w:rsidP="00D61ECF">
      <w:pPr>
        <w:pStyle w:val="ListParagraph"/>
        <w:keepLines/>
        <w:widowControl w:val="0"/>
        <w:numPr>
          <w:ilvl w:val="0"/>
          <w:numId w:val="18"/>
        </w:numPr>
        <w:tabs>
          <w:tab w:val="left" w:pos="720"/>
          <w:tab w:val="right" w:pos="10080"/>
        </w:tabs>
        <w:ind w:left="1080"/>
        <w:contextualSpacing w:val="0"/>
      </w:pPr>
      <w:r>
        <w:t xml:space="preserve">Conduct a surface emission monitoring demonstration using the Tier 4 procedures specified in </w:t>
      </w:r>
      <w:hyperlink w:anchor="SCA12" w:tooltip=" " w:history="1">
        <w:r w:rsidRPr="00115F98">
          <w:rPr>
            <w:rStyle w:val="Hyperlink"/>
            <w:b/>
            <w:color w:val="auto"/>
            <w:u w:val="none"/>
          </w:rPr>
          <w:t>Specific Condition A.1</w:t>
        </w:r>
        <w:r w:rsidR="00115F98" w:rsidRPr="00115F98">
          <w:rPr>
            <w:rStyle w:val="Hyperlink"/>
            <w:b/>
            <w:color w:val="auto"/>
            <w:u w:val="none"/>
          </w:rPr>
          <w:t>2</w:t>
        </w:r>
        <w:r w:rsidR="00CB258D" w:rsidRPr="00115F98">
          <w:rPr>
            <w:rStyle w:val="Hyperlink"/>
            <w:b/>
            <w:color w:val="auto"/>
            <w:u w:val="none"/>
          </w:rPr>
          <w:t>.</w:t>
        </w:r>
        <w:r w:rsidRPr="00115F98">
          <w:rPr>
            <w:rStyle w:val="Hyperlink"/>
          </w:rPr>
          <w:t xml:space="preserve"> </w:t>
        </w:r>
      </w:hyperlink>
      <w:r>
        <w:t xml:space="preserve"> </w:t>
      </w:r>
    </w:p>
    <w:p w14:paraId="25450C18" w14:textId="15EC4B00" w:rsidR="00D61ECF" w:rsidRDefault="00D61ECF" w:rsidP="00D61ECF">
      <w:pPr>
        <w:pStyle w:val="ListParagraph"/>
        <w:keepLines/>
        <w:widowControl w:val="0"/>
        <w:tabs>
          <w:tab w:val="left" w:pos="720"/>
          <w:tab w:val="right" w:pos="10080"/>
        </w:tabs>
        <w:spacing w:after="120"/>
        <w:ind w:left="0" w:firstLine="360"/>
        <w:contextualSpacing w:val="0"/>
      </w:pPr>
      <w:r>
        <w:t>[40 CFR 60.764(a)(3)]</w:t>
      </w:r>
    </w:p>
    <w:p w14:paraId="41D9E781" w14:textId="407E6F08" w:rsidR="00A34CD5" w:rsidRPr="001C17D6" w:rsidRDefault="00A34CD5" w:rsidP="00281C47">
      <w:pPr>
        <w:pStyle w:val="ListParagraph"/>
        <w:keepLines/>
        <w:widowControl w:val="0"/>
        <w:numPr>
          <w:ilvl w:val="0"/>
          <w:numId w:val="2"/>
        </w:numPr>
        <w:tabs>
          <w:tab w:val="clear" w:pos="1296"/>
          <w:tab w:val="num" w:pos="720"/>
          <w:tab w:val="right" w:pos="10080"/>
        </w:tabs>
        <w:spacing w:after="120"/>
        <w:ind w:left="360" w:hanging="360"/>
      </w:pPr>
      <w:bookmarkStart w:id="33" w:name="SCA11"/>
      <w:bookmarkEnd w:id="33"/>
      <w:r>
        <w:rPr>
          <w:u w:val="single"/>
        </w:rPr>
        <w:lastRenderedPageBreak/>
        <w:t>Tier 3 Testing</w:t>
      </w:r>
      <w:r>
        <w:t>.</w:t>
      </w:r>
      <w:r w:rsidR="00253E4E">
        <w:t xml:space="preserve">  If the owner or operator elects to perform Tier </w:t>
      </w:r>
      <w:r w:rsidR="0090276D">
        <w:t>3</w:t>
      </w:r>
      <w:r w:rsidR="00253E4E">
        <w:t xml:space="preserve"> testing, then it is subject to this condition.</w:t>
      </w:r>
      <w:r>
        <w:t xml:space="preserve">  </w:t>
      </w:r>
      <w:r w:rsidR="00281C47">
        <w:t xml:space="preserve">The </w:t>
      </w:r>
      <w:r w:rsidR="00281C47" w:rsidRPr="001C17D6">
        <w:t xml:space="preserve">site-specific methane generation rate constant must be determined using the procedures involved in Method 2E of Appendix A of 40 CFR 60.  The landfill owner or operator must estimate the NMOC mass emission rate using the equations in </w:t>
      </w:r>
      <w:hyperlink w:anchor="SCA7" w:tooltip=" " w:history="1">
        <w:r w:rsidR="00021C6C" w:rsidRPr="001C17D6">
          <w:rPr>
            <w:rStyle w:val="Hyperlink"/>
            <w:b/>
            <w:color w:val="auto"/>
            <w:u w:val="none"/>
          </w:rPr>
          <w:t>Specific Condition A.7.</w:t>
        </w:r>
      </w:hyperlink>
      <w:r w:rsidR="00021C6C" w:rsidRPr="001C17D6">
        <w:t xml:space="preserve"> or </w:t>
      </w:r>
      <w:hyperlink w:anchor="SCA8" w:tooltip=" " w:history="1">
        <w:r w:rsidR="00021C6C" w:rsidRPr="001C17D6">
          <w:rPr>
            <w:rStyle w:val="Hyperlink"/>
            <w:b/>
            <w:color w:val="auto"/>
            <w:u w:val="none"/>
          </w:rPr>
          <w:t>Specific Condition A.8.</w:t>
        </w:r>
      </w:hyperlink>
      <w:r w:rsidR="00281C47" w:rsidRPr="001C17D6">
        <w:t xml:space="preserve"> and using a site-specific methane generation rate constant, and the site-specific NMOC concentration as determined in </w:t>
      </w:r>
      <w:hyperlink w:anchor="SCA10a" w:tooltip=" " w:history="1">
        <w:r w:rsidR="00021C6C" w:rsidRPr="001C17D6">
          <w:rPr>
            <w:rStyle w:val="Hyperlink"/>
            <w:b/>
            <w:color w:val="auto"/>
            <w:u w:val="none"/>
          </w:rPr>
          <w:t>Specific Condition A.10</w:t>
        </w:r>
        <w:r w:rsidR="00CB258D" w:rsidRPr="001C17D6">
          <w:rPr>
            <w:rStyle w:val="Hyperlink"/>
            <w:b/>
            <w:color w:val="auto"/>
            <w:u w:val="none"/>
          </w:rPr>
          <w:t>.</w:t>
        </w:r>
        <w:r w:rsidR="00D61ECF" w:rsidRPr="001C17D6">
          <w:rPr>
            <w:rStyle w:val="Hyperlink"/>
            <w:b/>
            <w:color w:val="auto"/>
            <w:u w:val="none"/>
          </w:rPr>
          <w:t>a</w:t>
        </w:r>
        <w:r w:rsidR="00CB258D" w:rsidRPr="001C17D6">
          <w:rPr>
            <w:rStyle w:val="Hyperlink"/>
            <w:b/>
            <w:color w:val="auto"/>
            <w:u w:val="none"/>
          </w:rPr>
          <w:t>.</w:t>
        </w:r>
      </w:hyperlink>
      <w:r w:rsidR="00DA1670" w:rsidRPr="001C17D6">
        <w:t xml:space="preserve"> instead of the default values provided in </w:t>
      </w:r>
      <w:hyperlink w:anchor="SCA7" w:tooltip=" " w:history="1">
        <w:r w:rsidR="00021C6C" w:rsidRPr="001C17D6">
          <w:rPr>
            <w:rStyle w:val="Hyperlink"/>
            <w:b/>
            <w:color w:val="auto"/>
            <w:u w:val="none"/>
          </w:rPr>
          <w:t>Specific Condition A.7.</w:t>
        </w:r>
      </w:hyperlink>
      <w:r w:rsidR="00021C6C" w:rsidRPr="001C17D6">
        <w:t xml:space="preserve"> or </w:t>
      </w:r>
      <w:hyperlink w:anchor="SCA8" w:tooltip=" " w:history="1">
        <w:r w:rsidR="00021C6C" w:rsidRPr="001C17D6">
          <w:rPr>
            <w:rStyle w:val="Hyperlink"/>
            <w:b/>
            <w:color w:val="auto"/>
            <w:u w:val="none"/>
          </w:rPr>
          <w:t>Specific Condition A.8.</w:t>
        </w:r>
      </w:hyperlink>
      <w:r w:rsidR="00DA1670" w:rsidRPr="001C17D6">
        <w:t xml:space="preserve">  The landfill owner or operator must compare the resulting NMOC mass emission rate to the standard of 34 megagrams per year.  </w:t>
      </w:r>
    </w:p>
    <w:p w14:paraId="51D2CB53" w14:textId="77777777" w:rsidR="00DA1670" w:rsidRDefault="00DA1670" w:rsidP="00DA1670">
      <w:pPr>
        <w:pStyle w:val="ListParagraph"/>
        <w:keepLines/>
        <w:widowControl w:val="0"/>
        <w:numPr>
          <w:ilvl w:val="0"/>
          <w:numId w:val="20"/>
        </w:numPr>
        <w:tabs>
          <w:tab w:val="right" w:pos="10080"/>
        </w:tabs>
        <w:spacing w:after="120"/>
        <w:ind w:left="720"/>
      </w:pPr>
      <w:r w:rsidRPr="001C17D6">
        <w:t xml:space="preserve">If the NMOC mass emission rate as calculated using the Tier </w:t>
      </w:r>
      <w:r>
        <w:t>2 site-specific NMOC concentration and Tier 3 site-specific methane generation rate is equal to or greater than 34 megagrams per year, the owner or operator must either:</w:t>
      </w:r>
    </w:p>
    <w:p w14:paraId="5F188E6B" w14:textId="5AE13F34" w:rsidR="00DA1670" w:rsidRPr="001C17D6" w:rsidRDefault="00DA1670" w:rsidP="00DA1670">
      <w:pPr>
        <w:pStyle w:val="ListParagraph"/>
        <w:keepLines/>
        <w:widowControl w:val="0"/>
        <w:numPr>
          <w:ilvl w:val="0"/>
          <w:numId w:val="21"/>
        </w:numPr>
        <w:tabs>
          <w:tab w:val="right" w:pos="10080"/>
        </w:tabs>
        <w:spacing w:after="120"/>
        <w:ind w:left="1080"/>
      </w:pPr>
      <w:r>
        <w:t xml:space="preserve">Submit a gas collection and control system design plan within 1 year as specified in </w:t>
      </w:r>
      <w:hyperlink w:anchor="SCA16" w:tooltip=" " w:history="1">
        <w:r w:rsidRPr="001C17D6">
          <w:rPr>
            <w:rStyle w:val="Hyperlink"/>
            <w:b/>
            <w:color w:val="auto"/>
            <w:u w:val="none"/>
          </w:rPr>
          <w:t>Specific Condition A.</w:t>
        </w:r>
        <w:r w:rsidR="001C17D6" w:rsidRPr="001C17D6">
          <w:rPr>
            <w:rStyle w:val="Hyperlink"/>
            <w:b/>
            <w:color w:val="auto"/>
            <w:u w:val="none"/>
          </w:rPr>
          <w:t>16</w:t>
        </w:r>
        <w:r w:rsidR="00CB258D" w:rsidRPr="001C17D6">
          <w:rPr>
            <w:rStyle w:val="Hyperlink"/>
            <w:b/>
            <w:color w:val="auto"/>
            <w:u w:val="none"/>
          </w:rPr>
          <w:t>.</w:t>
        </w:r>
      </w:hyperlink>
      <w:r>
        <w:t xml:space="preserve"> and install and operate a gas collection and control system within 30 months according to </w:t>
      </w:r>
      <w:hyperlink w:anchor="SCA4" w:tooltip=" " w:history="1">
        <w:r w:rsidRPr="001C17D6">
          <w:rPr>
            <w:rStyle w:val="Hyperlink"/>
            <w:b/>
            <w:color w:val="auto"/>
            <w:u w:val="none"/>
          </w:rPr>
          <w:t>Specific Condition A.4.</w:t>
        </w:r>
      </w:hyperlink>
    </w:p>
    <w:p w14:paraId="562B01F3" w14:textId="0B8D7136" w:rsidR="006A3D8C" w:rsidRPr="001C17D6" w:rsidRDefault="006A3D8C" w:rsidP="00DA1670">
      <w:pPr>
        <w:pStyle w:val="ListParagraph"/>
        <w:keepLines/>
        <w:widowControl w:val="0"/>
        <w:numPr>
          <w:ilvl w:val="0"/>
          <w:numId w:val="21"/>
        </w:numPr>
        <w:tabs>
          <w:tab w:val="right" w:pos="10080"/>
        </w:tabs>
        <w:spacing w:after="120"/>
        <w:ind w:left="1080"/>
      </w:pPr>
      <w:r w:rsidRPr="001C17D6">
        <w:t xml:space="preserve">Conduct a </w:t>
      </w:r>
      <w:r w:rsidR="00C850D9" w:rsidRPr="001C17D6">
        <w:t xml:space="preserve">surface emission monitoring demonstration using the Tier 4 procedures specified in </w:t>
      </w:r>
      <w:hyperlink w:anchor="SCA12" w:tooltip=" " w:history="1">
        <w:r w:rsidR="00C850D9" w:rsidRPr="001C17D6">
          <w:rPr>
            <w:rStyle w:val="Hyperlink"/>
            <w:b/>
            <w:color w:val="auto"/>
            <w:u w:val="none"/>
          </w:rPr>
          <w:t>Specific Condition A.1</w:t>
        </w:r>
        <w:r w:rsidR="001C17D6" w:rsidRPr="001C17D6">
          <w:rPr>
            <w:rStyle w:val="Hyperlink"/>
            <w:b/>
            <w:color w:val="auto"/>
            <w:u w:val="none"/>
          </w:rPr>
          <w:t>2</w:t>
        </w:r>
        <w:r w:rsidR="00C850D9" w:rsidRPr="001C17D6">
          <w:rPr>
            <w:rStyle w:val="Hyperlink"/>
            <w:b/>
            <w:color w:val="auto"/>
            <w:u w:val="none"/>
          </w:rPr>
          <w:t>.</w:t>
        </w:r>
      </w:hyperlink>
    </w:p>
    <w:p w14:paraId="66CD7D40" w14:textId="4E24DABC" w:rsidR="00444A19" w:rsidRPr="001C17D6" w:rsidRDefault="00444A19" w:rsidP="00992153">
      <w:pPr>
        <w:pStyle w:val="ListParagraph"/>
        <w:keepLines/>
        <w:widowControl w:val="0"/>
        <w:numPr>
          <w:ilvl w:val="0"/>
          <w:numId w:val="20"/>
        </w:numPr>
        <w:tabs>
          <w:tab w:val="right" w:pos="10080"/>
        </w:tabs>
        <w:ind w:left="720"/>
        <w:contextualSpacing w:val="0"/>
      </w:pPr>
      <w:r w:rsidRPr="001C17D6">
        <w:t xml:space="preserve">If the NMOC mass emission rate is less than 34 megagrams per year, then the owner or operator must recalculate the NMOC mass emission rate annually using the equations specified in </w:t>
      </w:r>
      <w:hyperlink w:anchor="SCA7" w:tooltip=" " w:history="1">
        <w:r w:rsidR="001C17D6" w:rsidRPr="001C17D6">
          <w:rPr>
            <w:rStyle w:val="Hyperlink"/>
            <w:b/>
            <w:color w:val="auto"/>
            <w:u w:val="none"/>
          </w:rPr>
          <w:t>Specific Condition A.7.</w:t>
        </w:r>
      </w:hyperlink>
      <w:r w:rsidR="001C17D6" w:rsidRPr="001C17D6">
        <w:t xml:space="preserve"> or </w:t>
      </w:r>
      <w:hyperlink w:anchor="SCA8" w:tooltip=" " w:history="1">
        <w:r w:rsidR="001C17D6" w:rsidRPr="001C17D6">
          <w:rPr>
            <w:rStyle w:val="Hyperlink"/>
            <w:b/>
            <w:color w:val="auto"/>
            <w:u w:val="none"/>
          </w:rPr>
          <w:t>Specific Condition A.8.</w:t>
        </w:r>
      </w:hyperlink>
      <w:r w:rsidRPr="001C17D6">
        <w:t xml:space="preserve"> and using the site-specific Tier 2 NMOC concentration and Tier 3 methane generation rate constant and submit a periodic NMOC emission rate report as provided in</w:t>
      </w:r>
      <w:r w:rsidR="007C3361" w:rsidRPr="001C17D6">
        <w:t xml:space="preserve"> </w:t>
      </w:r>
      <w:hyperlink w:anchor="SCA15" w:tooltip=" " w:history="1">
        <w:r w:rsidR="001C17D6" w:rsidRPr="001C17D6">
          <w:rPr>
            <w:rStyle w:val="Hyperlink"/>
            <w:b/>
            <w:color w:val="auto"/>
            <w:u w:val="none"/>
          </w:rPr>
          <w:t>Specific Condition A.15</w:t>
        </w:r>
        <w:r w:rsidR="00CB258D" w:rsidRPr="001C17D6">
          <w:rPr>
            <w:rStyle w:val="Hyperlink"/>
            <w:b/>
            <w:color w:val="auto"/>
            <w:u w:val="none"/>
          </w:rPr>
          <w:t>.</w:t>
        </w:r>
      </w:hyperlink>
      <w:r w:rsidRPr="001C17D6">
        <w:t xml:space="preserve">  The calculation of the methane generation rate constant is performed only once, and the value obtained from this test must be used in all subsequent annual NMOC emission rate calculations.</w:t>
      </w:r>
    </w:p>
    <w:p w14:paraId="2B2C4B0A" w14:textId="0F9466D1" w:rsidR="00992153" w:rsidRPr="001C17D6" w:rsidRDefault="00992153" w:rsidP="00992153">
      <w:pPr>
        <w:keepLines/>
        <w:widowControl w:val="0"/>
        <w:tabs>
          <w:tab w:val="right" w:pos="10080"/>
        </w:tabs>
        <w:spacing w:after="120"/>
        <w:ind w:left="360"/>
      </w:pPr>
      <w:r w:rsidRPr="001C17D6">
        <w:t>[40 CFR 60.764(a)(4)]</w:t>
      </w:r>
    </w:p>
    <w:p w14:paraId="663D999C" w14:textId="330478F8" w:rsidR="00444A19" w:rsidRDefault="00444A19" w:rsidP="00992153">
      <w:pPr>
        <w:pStyle w:val="ListParagraph"/>
        <w:keepLines/>
        <w:widowControl w:val="0"/>
        <w:numPr>
          <w:ilvl w:val="0"/>
          <w:numId w:val="2"/>
        </w:numPr>
        <w:tabs>
          <w:tab w:val="clear" w:pos="1296"/>
          <w:tab w:val="num" w:pos="720"/>
          <w:tab w:val="right" w:pos="10080"/>
        </w:tabs>
        <w:ind w:left="360" w:hanging="360"/>
        <w:contextualSpacing w:val="0"/>
      </w:pPr>
      <w:bookmarkStart w:id="34" w:name="SCA12"/>
      <w:bookmarkEnd w:id="34"/>
      <w:r w:rsidRPr="001C17D6">
        <w:rPr>
          <w:u w:val="single"/>
        </w:rPr>
        <w:t>Tier 4 Testing</w:t>
      </w:r>
      <w:r w:rsidRPr="001C17D6">
        <w:t>.</w:t>
      </w:r>
      <w:r w:rsidR="0090276D" w:rsidRPr="001C17D6">
        <w:t xml:space="preserve">  If the owner or operator </w:t>
      </w:r>
      <w:r w:rsidR="0090276D">
        <w:t>elects to perform Tier 4 testing, then it is subject to this condition.</w:t>
      </w:r>
      <w:r>
        <w:t xml:space="preserve">  </w:t>
      </w:r>
      <w:r w:rsidR="006722B2">
        <w:t>The landfill owner or operator must demonstrate that surface methane emissions are below 500 parts per million.  Surface emission monitoring must be conducted on a quarterly basis using the following procedures.  Tier 4 is allowed only if the landfill owner or operator can demonstrate that NMOC emissions are greater than or equal to 34 megagrams per year but less than 50 megagrams per year using Tier 1 or Tier 2.  If both Tier 1 and Tier 2 indicate NMOC emissions are 50 megagrams per year or greater, then Tier 4 cannot be used.  In addition, the landfill must meet the criteria in the following paragraph</w:t>
      </w:r>
      <w:r w:rsidR="00992153">
        <w:t>s</w:t>
      </w:r>
      <w:r w:rsidR="006722B2">
        <w:t>:</w:t>
      </w:r>
    </w:p>
    <w:p w14:paraId="1F6D5B5F" w14:textId="6F14933B" w:rsidR="006722B2" w:rsidRDefault="002E66AD" w:rsidP="002E66AD">
      <w:pPr>
        <w:pStyle w:val="ListParagraph"/>
        <w:keepLines/>
        <w:widowControl w:val="0"/>
        <w:numPr>
          <w:ilvl w:val="0"/>
          <w:numId w:val="22"/>
        </w:numPr>
        <w:tabs>
          <w:tab w:val="right" w:pos="10080"/>
        </w:tabs>
        <w:ind w:left="720"/>
        <w:contextualSpacing w:val="0"/>
      </w:pPr>
      <w:r>
        <w:t>The owner or operator must measure surface concentrations of methane along the entire perimeter of the landfill and along a pattern that traverses the landfill at no more than 30-meter intervals using an organic vapor analyzer, flame ionization detector, or other portable monitor meeting the specifications provided in 40 CFR 60.765(d).</w:t>
      </w:r>
    </w:p>
    <w:p w14:paraId="03612D8E" w14:textId="39D42A32" w:rsidR="002E66AD" w:rsidRDefault="002E66AD" w:rsidP="002E66AD">
      <w:pPr>
        <w:pStyle w:val="ListParagraph"/>
        <w:keepLines/>
        <w:widowControl w:val="0"/>
        <w:numPr>
          <w:ilvl w:val="0"/>
          <w:numId w:val="22"/>
        </w:numPr>
        <w:tabs>
          <w:tab w:val="right" w:pos="10080"/>
        </w:tabs>
        <w:ind w:left="720"/>
        <w:contextualSpacing w:val="0"/>
      </w:pPr>
      <w:r>
        <w:t xml:space="preserve">The background concentration must be determined by moving the probe inlet upwind and downwind at least 30 meters from the waste mass boundary of the landfill.  </w:t>
      </w:r>
    </w:p>
    <w:p w14:paraId="1B639E34" w14:textId="56D57292" w:rsidR="002E66AD" w:rsidRDefault="002E66AD" w:rsidP="002E66AD">
      <w:pPr>
        <w:pStyle w:val="ListParagraph"/>
        <w:keepLines/>
        <w:widowControl w:val="0"/>
        <w:numPr>
          <w:ilvl w:val="0"/>
          <w:numId w:val="22"/>
        </w:numPr>
        <w:tabs>
          <w:tab w:val="right" w:pos="10080"/>
        </w:tabs>
        <w:ind w:left="720"/>
        <w:contextualSpacing w:val="0"/>
      </w:pPr>
      <w:r>
        <w:t xml:space="preserve">Surface emission monitoring must be performed in accordance with 8.3.1 of Method 21 of appendix A of 40 CFR 60, except that the probe inlet must be placed no more than 5 centimeters above the landfill surface; the constant measurement of distance above the surface should be based on a mechanical device such as with a wheel on a pole, except as described in </w:t>
      </w:r>
      <w:hyperlink w:anchor="SCA12c1" w:tooltip=" " w:history="1">
        <w:r w:rsidRPr="001C17D6">
          <w:rPr>
            <w:rStyle w:val="Hyperlink"/>
            <w:b/>
            <w:color w:val="auto"/>
            <w:u w:val="none"/>
          </w:rPr>
          <w:t>paragraph c.(1).</w:t>
        </w:r>
      </w:hyperlink>
      <w:r>
        <w:t xml:space="preserve">  </w:t>
      </w:r>
    </w:p>
    <w:p w14:paraId="49D05413" w14:textId="30B9743F" w:rsidR="002E66AD" w:rsidRDefault="00572223" w:rsidP="00572223">
      <w:pPr>
        <w:pStyle w:val="ListParagraph"/>
        <w:keepLines/>
        <w:widowControl w:val="0"/>
        <w:numPr>
          <w:ilvl w:val="0"/>
          <w:numId w:val="23"/>
        </w:numPr>
        <w:tabs>
          <w:tab w:val="right" w:pos="10080"/>
        </w:tabs>
        <w:ind w:left="1080"/>
        <w:contextualSpacing w:val="0"/>
      </w:pPr>
      <w:bookmarkStart w:id="35" w:name="SCA12c1"/>
      <w:bookmarkEnd w:id="35"/>
      <w:r>
        <w:t>The owner or operator must use a wind barrier, similar to a funnel, when onsite average wind speed exceeds 4 miles per hour or 2 meters per second or gust exceeding 10 miles per hour.  Average on-site wind speed must also be determined in an open area at 5-minute intervals using an on-site anemometer with a continuous recorder and data logger for the entire duration of the monitoring event.  The wind barrier must surround the SEM monitor, and must be placed on the ground, to ensure wind turbulence is blocked.  SEM cannot be conducted if average wind speed exceeds 25 miles per hour.</w:t>
      </w:r>
    </w:p>
    <w:p w14:paraId="55AD4F7B" w14:textId="0F015AB9" w:rsidR="00572223" w:rsidRDefault="00572223" w:rsidP="00572223">
      <w:pPr>
        <w:pStyle w:val="ListParagraph"/>
        <w:keepLines/>
        <w:widowControl w:val="0"/>
        <w:numPr>
          <w:ilvl w:val="0"/>
          <w:numId w:val="23"/>
        </w:numPr>
        <w:tabs>
          <w:tab w:val="right" w:pos="10080"/>
        </w:tabs>
        <w:ind w:left="1080"/>
        <w:contextualSpacing w:val="0"/>
      </w:pPr>
      <w:r>
        <w:lastRenderedPageBreak/>
        <w:t xml:space="preserve">Landfill surface areas where visual observations indicate elevated concentrations of landfill gas, such as distressed vegetation and cracks or seeps in the cover, and all cover penetrations must be monitored using a device meeting the specifications provided in 40 CFR 60.765(d).  </w:t>
      </w:r>
    </w:p>
    <w:p w14:paraId="420234B6" w14:textId="14719BC4" w:rsidR="00572223" w:rsidRDefault="007C7B98" w:rsidP="000805D5">
      <w:pPr>
        <w:pStyle w:val="ListParagraph"/>
        <w:keepLines/>
        <w:widowControl w:val="0"/>
        <w:numPr>
          <w:ilvl w:val="0"/>
          <w:numId w:val="23"/>
        </w:numPr>
        <w:tabs>
          <w:tab w:val="right" w:pos="10080"/>
        </w:tabs>
        <w:ind w:left="1080"/>
        <w:contextualSpacing w:val="0"/>
      </w:pPr>
      <w:r>
        <w:t xml:space="preserve">If there is any measured concentration of methane of 500 parts per million or greater from the surface of the landfill, the owner or operator must submit a gas collection and control system design plan within 1 year of the first measured concentration of methane of 500 parts per million or greater from the surface of the landfill according to </w:t>
      </w:r>
      <w:hyperlink w:anchor="SCA15" w:tooltip=" " w:history="1">
        <w:r w:rsidR="007C3361" w:rsidRPr="007A6DC5">
          <w:rPr>
            <w:rStyle w:val="Hyperlink"/>
            <w:b/>
            <w:color w:val="auto"/>
            <w:u w:val="none"/>
          </w:rPr>
          <w:t>Specific Condition A.1</w:t>
        </w:r>
        <w:r w:rsidR="007A6DC5" w:rsidRPr="007A6DC5">
          <w:rPr>
            <w:rStyle w:val="Hyperlink"/>
            <w:b/>
            <w:color w:val="auto"/>
            <w:u w:val="none"/>
          </w:rPr>
          <w:t>5</w:t>
        </w:r>
        <w:r w:rsidR="00CB258D" w:rsidRPr="007A6DC5">
          <w:rPr>
            <w:rStyle w:val="Hyperlink"/>
            <w:b/>
            <w:color w:val="auto"/>
            <w:u w:val="none"/>
          </w:rPr>
          <w:t>.</w:t>
        </w:r>
      </w:hyperlink>
      <w:r w:rsidR="00E20C87">
        <w:t xml:space="preserve"> and install and operate a gas collection and control system according to </w:t>
      </w:r>
      <w:hyperlink w:anchor="SCA4" w:tooltip=" " w:history="1">
        <w:r w:rsidR="00E20C87" w:rsidRPr="007A6DC5">
          <w:rPr>
            <w:rStyle w:val="Hyperlink"/>
            <w:b/>
            <w:color w:val="auto"/>
            <w:u w:val="none"/>
          </w:rPr>
          <w:t>Specific Condition A.4</w:t>
        </w:r>
        <w:r w:rsidR="00CB258D" w:rsidRPr="007A6DC5">
          <w:rPr>
            <w:rStyle w:val="Hyperlink"/>
            <w:b/>
            <w:color w:val="auto"/>
            <w:u w:val="none"/>
          </w:rPr>
          <w:t>.</w:t>
        </w:r>
      </w:hyperlink>
      <w:r w:rsidR="00E20C87">
        <w:t xml:space="preserve"> within 30 months of the most recent NMOC emission rate report in which the NMOC emission rate equals or exceeds 34 megagrams per year based on Tier 2.</w:t>
      </w:r>
    </w:p>
    <w:p w14:paraId="25AA5F4B" w14:textId="59A30444" w:rsidR="008C59D9" w:rsidRDefault="008C59D9" w:rsidP="008C59D9">
      <w:pPr>
        <w:pStyle w:val="ListParagraph"/>
        <w:keepLines/>
        <w:widowControl w:val="0"/>
        <w:numPr>
          <w:ilvl w:val="0"/>
          <w:numId w:val="23"/>
        </w:numPr>
        <w:tabs>
          <w:tab w:val="right" w:pos="10080"/>
        </w:tabs>
        <w:ind w:left="1080"/>
        <w:contextualSpacing w:val="0"/>
      </w:pPr>
      <w:r>
        <w:t xml:space="preserve">If after four consecutive quarterly monitoring periods at a landfill, other than a closed landfill, there is no measured concentration of methane of 500 parts per million or greater from the surface of the landfill, the owner or operator must continue quarterly surface emission monitoring using the methods specified in this section.  </w:t>
      </w:r>
    </w:p>
    <w:p w14:paraId="5DE7897B" w14:textId="430F6110" w:rsidR="008C59D9" w:rsidRDefault="008C59D9" w:rsidP="008C59D9">
      <w:pPr>
        <w:pStyle w:val="ListParagraph"/>
        <w:keepLines/>
        <w:widowControl w:val="0"/>
        <w:numPr>
          <w:ilvl w:val="0"/>
          <w:numId w:val="23"/>
        </w:numPr>
        <w:tabs>
          <w:tab w:val="right" w:pos="10080"/>
        </w:tabs>
        <w:ind w:left="1080"/>
        <w:contextualSpacing w:val="0"/>
      </w:pPr>
      <w:r w:rsidRPr="008C59D9">
        <w:t xml:space="preserve">If after four consecutive quarterly monitoring periods at a closed landfill there is no measured concentration of methane of 500 parts per million or greater from the surface of the landfill, the owner or operator must conduct annual surface emission monitoring using the methods specified in this </w:t>
      </w:r>
      <w:r>
        <w:t>condition</w:t>
      </w:r>
      <w:r w:rsidRPr="008C59D9">
        <w:t>.</w:t>
      </w:r>
    </w:p>
    <w:p w14:paraId="27281176" w14:textId="34936B41" w:rsidR="008C59D9" w:rsidRDefault="00960A9A" w:rsidP="00960A9A">
      <w:pPr>
        <w:keepLines/>
        <w:widowControl w:val="0"/>
        <w:tabs>
          <w:tab w:val="right" w:pos="10080"/>
        </w:tabs>
        <w:spacing w:after="120"/>
        <w:ind w:left="360"/>
      </w:pPr>
      <w:r>
        <w:t>[40 CFR 60.764(a)(6)]</w:t>
      </w:r>
    </w:p>
    <w:p w14:paraId="16866D77" w14:textId="2B9B2DDE" w:rsidR="00960A9A" w:rsidRPr="004C1CD8" w:rsidRDefault="004C1CD8" w:rsidP="004C1CD8">
      <w:pPr>
        <w:pStyle w:val="ListParagraph"/>
        <w:keepLines/>
        <w:widowControl w:val="0"/>
        <w:numPr>
          <w:ilvl w:val="0"/>
          <w:numId w:val="2"/>
        </w:numPr>
        <w:tabs>
          <w:tab w:val="clear" w:pos="1296"/>
          <w:tab w:val="num" w:pos="720"/>
          <w:tab w:val="right" w:pos="10080"/>
        </w:tabs>
        <w:ind w:left="0"/>
        <w:rPr>
          <w:b/>
        </w:rPr>
      </w:pPr>
      <w:r>
        <w:rPr>
          <w:u w:val="single"/>
        </w:rPr>
        <w:t>Other Test Methods</w:t>
      </w:r>
      <w:r>
        <w:t xml:space="preserve">.  </w:t>
      </w:r>
      <w:r w:rsidR="005A7D79">
        <w:t xml:space="preserve">The owner or operator may use other methods to determine the NMOC concentration or a site-specific methane generation rate constant as an alternative to methods required in </w:t>
      </w:r>
      <w:hyperlink w:anchor="SCA10" w:tooltip=" " w:history="1">
        <w:r w:rsidR="00D07900" w:rsidRPr="00D07900">
          <w:rPr>
            <w:rStyle w:val="Hyperlink"/>
            <w:b/>
            <w:color w:val="auto"/>
            <w:u w:val="none"/>
          </w:rPr>
          <w:t>Specific Conditions A.10</w:t>
        </w:r>
        <w:r w:rsidR="00CB258D" w:rsidRPr="00D07900">
          <w:rPr>
            <w:rStyle w:val="Hyperlink"/>
            <w:b/>
            <w:color w:val="auto"/>
            <w:u w:val="none"/>
          </w:rPr>
          <w:t>.</w:t>
        </w:r>
      </w:hyperlink>
      <w:r w:rsidR="005A7D79" w:rsidRPr="00D07900">
        <w:t xml:space="preserve"> and </w:t>
      </w:r>
      <w:hyperlink w:anchor="SCA11" w:tooltip=" " w:history="1">
        <w:r w:rsidR="005A7D79" w:rsidRPr="00D07900">
          <w:rPr>
            <w:rStyle w:val="Hyperlink"/>
            <w:b/>
            <w:color w:val="auto"/>
            <w:u w:val="none"/>
          </w:rPr>
          <w:t>A.</w:t>
        </w:r>
        <w:r w:rsidR="00D07900" w:rsidRPr="00D07900">
          <w:rPr>
            <w:rStyle w:val="Hyperlink"/>
            <w:b/>
            <w:color w:val="auto"/>
            <w:u w:val="none"/>
          </w:rPr>
          <w:t>11</w:t>
        </w:r>
        <w:r w:rsidR="00CB258D" w:rsidRPr="00D07900">
          <w:rPr>
            <w:rStyle w:val="Hyperlink"/>
            <w:b/>
            <w:color w:val="auto"/>
            <w:u w:val="none"/>
          </w:rPr>
          <w:t>.</w:t>
        </w:r>
      </w:hyperlink>
      <w:r w:rsidR="005A7D79">
        <w:t xml:space="preserve"> if the method has been approved by the Administrator.  [40 CFR 60.764(a)(5)]</w:t>
      </w:r>
    </w:p>
    <w:p w14:paraId="5D874B3E" w14:textId="50BD16AC" w:rsidR="00780F01" w:rsidRPr="00D33DF4" w:rsidRDefault="00780F01" w:rsidP="00051325">
      <w:pPr>
        <w:tabs>
          <w:tab w:val="left" w:pos="0"/>
        </w:tabs>
        <w:suppressAutoHyphens/>
        <w:spacing w:before="120" w:after="120"/>
      </w:pPr>
      <w:r w:rsidRPr="00780F01">
        <w:rPr>
          <w:b/>
          <w:u w:val="single"/>
        </w:rPr>
        <w:t>Recordkeeping and Reporting Requirements</w:t>
      </w:r>
    </w:p>
    <w:p w14:paraId="2A5E847B" w14:textId="40990BC1" w:rsidR="00780F01" w:rsidRDefault="00892617" w:rsidP="0090276D">
      <w:pPr>
        <w:pStyle w:val="ListParagraph"/>
        <w:numPr>
          <w:ilvl w:val="0"/>
          <w:numId w:val="2"/>
        </w:numPr>
        <w:tabs>
          <w:tab w:val="clear" w:pos="1296"/>
          <w:tab w:val="left" w:pos="-72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contextualSpacing w:val="0"/>
      </w:pPr>
      <w:r w:rsidRPr="0090276D">
        <w:rPr>
          <w:spacing w:val="-3"/>
          <w:u w:val="single"/>
        </w:rPr>
        <w:t>Reporting Schedule</w:t>
      </w:r>
      <w:r w:rsidRPr="0090276D">
        <w:rPr>
          <w:spacing w:val="-3"/>
        </w:rPr>
        <w:t>.  The following reports and notifications shall be submitted to the Compliance</w:t>
      </w:r>
      <w:r w:rsidRPr="00993ABC">
        <w:t xml:space="preserve"> Authority:</w:t>
      </w:r>
      <w:r w:rsidR="0095785A">
        <w:t xml:space="preserve">  </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117"/>
        <w:gridCol w:w="4230"/>
        <w:gridCol w:w="2235"/>
      </w:tblGrid>
      <w:tr w:rsidR="00892617" w:rsidRPr="00060DE6" w14:paraId="7531B1B7" w14:textId="77777777" w:rsidTr="0080059D">
        <w:tc>
          <w:tcPr>
            <w:tcW w:w="3117" w:type="dxa"/>
            <w:tcBorders>
              <w:top w:val="single" w:sz="12" w:space="0" w:color="auto"/>
              <w:bottom w:val="single" w:sz="12" w:space="0" w:color="auto"/>
            </w:tcBorders>
            <w:vAlign w:val="center"/>
          </w:tcPr>
          <w:p w14:paraId="070D3F4C" w14:textId="77777777" w:rsidR="00892617" w:rsidRPr="00060DE6" w:rsidRDefault="00892617" w:rsidP="00060DE6">
            <w:pPr>
              <w:tabs>
                <w:tab w:val="left" w:pos="360"/>
                <w:tab w:val="left" w:pos="720"/>
                <w:tab w:val="left" w:pos="1080"/>
                <w:tab w:val="left" w:pos="1440"/>
                <w:tab w:val="left" w:pos="1800"/>
                <w:tab w:val="left" w:pos="2160"/>
              </w:tabs>
              <w:spacing w:line="-240" w:lineRule="auto"/>
              <w:rPr>
                <w:b/>
              </w:rPr>
            </w:pPr>
            <w:r w:rsidRPr="00060DE6">
              <w:rPr>
                <w:b/>
              </w:rPr>
              <w:t>Report</w:t>
            </w:r>
          </w:p>
        </w:tc>
        <w:tc>
          <w:tcPr>
            <w:tcW w:w="4230" w:type="dxa"/>
            <w:tcBorders>
              <w:top w:val="single" w:sz="12" w:space="0" w:color="auto"/>
              <w:bottom w:val="single" w:sz="12" w:space="0" w:color="auto"/>
            </w:tcBorders>
            <w:vAlign w:val="center"/>
          </w:tcPr>
          <w:p w14:paraId="22420D92" w14:textId="77777777" w:rsidR="00892617" w:rsidRPr="00060DE6" w:rsidRDefault="00892617" w:rsidP="00060DE6">
            <w:pPr>
              <w:tabs>
                <w:tab w:val="left" w:pos="360"/>
                <w:tab w:val="left" w:pos="720"/>
                <w:tab w:val="left" w:pos="1080"/>
                <w:tab w:val="left" w:pos="1440"/>
                <w:tab w:val="left" w:pos="1800"/>
                <w:tab w:val="left" w:pos="2160"/>
              </w:tabs>
              <w:spacing w:line="-240" w:lineRule="auto"/>
              <w:rPr>
                <w:b/>
              </w:rPr>
            </w:pPr>
            <w:r w:rsidRPr="00060DE6">
              <w:rPr>
                <w:b/>
              </w:rPr>
              <w:t>Reporting Deadline</w:t>
            </w:r>
          </w:p>
        </w:tc>
        <w:tc>
          <w:tcPr>
            <w:tcW w:w="2235" w:type="dxa"/>
            <w:tcBorders>
              <w:top w:val="single" w:sz="12" w:space="0" w:color="auto"/>
              <w:bottom w:val="single" w:sz="12" w:space="0" w:color="auto"/>
            </w:tcBorders>
            <w:vAlign w:val="center"/>
          </w:tcPr>
          <w:p w14:paraId="5B0F4E0A" w14:textId="77777777" w:rsidR="00892617" w:rsidRPr="00060DE6" w:rsidRDefault="00620538" w:rsidP="00060DE6">
            <w:pPr>
              <w:tabs>
                <w:tab w:val="left" w:pos="360"/>
                <w:tab w:val="left" w:pos="720"/>
                <w:tab w:val="left" w:pos="1080"/>
                <w:tab w:val="left" w:pos="1440"/>
                <w:tab w:val="left" w:pos="1800"/>
                <w:tab w:val="left" w:pos="2160"/>
              </w:tabs>
              <w:spacing w:line="-240" w:lineRule="auto"/>
              <w:rPr>
                <w:b/>
              </w:rPr>
            </w:pPr>
            <w:r w:rsidRPr="00060DE6">
              <w:rPr>
                <w:b/>
              </w:rPr>
              <w:t>Related Condition(s)</w:t>
            </w:r>
          </w:p>
        </w:tc>
      </w:tr>
      <w:tr w:rsidR="00892617" w:rsidRPr="00060DE6" w14:paraId="15F77C8E" w14:textId="77777777" w:rsidTr="0080059D">
        <w:tc>
          <w:tcPr>
            <w:tcW w:w="3117" w:type="dxa"/>
            <w:tcBorders>
              <w:top w:val="single" w:sz="12" w:space="0" w:color="auto"/>
            </w:tcBorders>
            <w:vAlign w:val="center"/>
          </w:tcPr>
          <w:p w14:paraId="0E7BC2C1" w14:textId="123214BD" w:rsidR="00892617" w:rsidRPr="0080059D" w:rsidRDefault="0080059D" w:rsidP="00060DE6">
            <w:pPr>
              <w:pStyle w:val="BodyText"/>
              <w:ind w:right="144"/>
            </w:pPr>
            <w:r w:rsidRPr="0080059D">
              <w:t>NMOC Emission Rate Reports</w:t>
            </w:r>
          </w:p>
        </w:tc>
        <w:tc>
          <w:tcPr>
            <w:tcW w:w="4230" w:type="dxa"/>
            <w:tcBorders>
              <w:top w:val="single" w:sz="12" w:space="0" w:color="auto"/>
            </w:tcBorders>
            <w:vAlign w:val="center"/>
          </w:tcPr>
          <w:p w14:paraId="3CEB1099" w14:textId="70F2E57D" w:rsidR="00892617" w:rsidRPr="00060DE6" w:rsidRDefault="000244DF" w:rsidP="00060DE6">
            <w:pPr>
              <w:suppressAutoHyphens/>
              <w:ind w:right="144"/>
              <w:rPr>
                <w:highlight w:val="yellow"/>
              </w:rPr>
            </w:pPr>
            <w:r w:rsidRPr="000244DF">
              <w:t xml:space="preserve">Initially and </w:t>
            </w:r>
            <w:r w:rsidR="000740AA">
              <w:t>a</w:t>
            </w:r>
            <w:r w:rsidRPr="000244DF">
              <w:t xml:space="preserve">nnually </w:t>
            </w:r>
            <w:r w:rsidR="000740AA">
              <w:t>t</w:t>
            </w:r>
            <w:r w:rsidRPr="000244DF">
              <w:t>hereafter</w:t>
            </w:r>
          </w:p>
        </w:tc>
        <w:tc>
          <w:tcPr>
            <w:tcW w:w="2235" w:type="dxa"/>
            <w:tcBorders>
              <w:top w:val="single" w:sz="12" w:space="0" w:color="auto"/>
            </w:tcBorders>
            <w:vAlign w:val="center"/>
          </w:tcPr>
          <w:p w14:paraId="20E8970C" w14:textId="077BBAB4" w:rsidR="00892617" w:rsidRPr="00E668AF" w:rsidRDefault="00E668AF" w:rsidP="00060DE6">
            <w:pPr>
              <w:pStyle w:val="BodyText"/>
              <w:ind w:right="144"/>
            </w:pPr>
            <w:r>
              <w:rPr>
                <w:b/>
              </w:rPr>
              <w:t>A.12</w:t>
            </w:r>
            <w:r w:rsidR="00CB258D">
              <w:rPr>
                <w:b/>
              </w:rPr>
              <w:t>.</w:t>
            </w:r>
            <w:r>
              <w:rPr>
                <w:b/>
              </w:rPr>
              <w:t>, A.14</w:t>
            </w:r>
            <w:r w:rsidR="00CB258D">
              <w:rPr>
                <w:b/>
              </w:rPr>
              <w:t>.</w:t>
            </w:r>
            <w:r>
              <w:rPr>
                <w:b/>
              </w:rPr>
              <w:t>, A.15</w:t>
            </w:r>
            <w:r w:rsidR="00CB258D">
              <w:rPr>
                <w:b/>
              </w:rPr>
              <w:t>.</w:t>
            </w:r>
            <w:r>
              <w:rPr>
                <w:b/>
              </w:rPr>
              <w:t>, and A.16</w:t>
            </w:r>
            <w:r w:rsidR="00CB258D">
              <w:rPr>
                <w:b/>
              </w:rPr>
              <w:t>.</w:t>
            </w:r>
          </w:p>
        </w:tc>
      </w:tr>
      <w:tr w:rsidR="00892617" w:rsidRPr="00060DE6" w14:paraId="114C259C" w14:textId="77777777" w:rsidTr="0080059D">
        <w:tc>
          <w:tcPr>
            <w:tcW w:w="3117" w:type="dxa"/>
            <w:vAlign w:val="center"/>
          </w:tcPr>
          <w:p w14:paraId="52721B37" w14:textId="27C04883" w:rsidR="00892617" w:rsidRPr="00060DE6" w:rsidRDefault="000740AA" w:rsidP="00060DE6">
            <w:pPr>
              <w:pStyle w:val="BodyText"/>
              <w:ind w:right="144"/>
              <w:rPr>
                <w:highlight w:val="yellow"/>
              </w:rPr>
            </w:pPr>
            <w:r w:rsidRPr="000740AA">
              <w:t>Collection and Control System Design Plan</w:t>
            </w:r>
          </w:p>
        </w:tc>
        <w:tc>
          <w:tcPr>
            <w:tcW w:w="4230" w:type="dxa"/>
            <w:vAlign w:val="center"/>
          </w:tcPr>
          <w:p w14:paraId="7E8AFFB1" w14:textId="1C87B2AF" w:rsidR="00892617" w:rsidRPr="00993ABC" w:rsidRDefault="007F53F5" w:rsidP="00060DE6">
            <w:pPr>
              <w:suppressAutoHyphens/>
              <w:ind w:right="144"/>
            </w:pPr>
            <w:r>
              <w:t>Within 1 year of exceeding 34 megagrams of NMOC per year for Tier 1, 2, and 3 tests or 500 ppm from the surface of the landfill for Tier 4</w:t>
            </w:r>
          </w:p>
        </w:tc>
        <w:tc>
          <w:tcPr>
            <w:tcW w:w="2235" w:type="dxa"/>
            <w:vAlign w:val="center"/>
          </w:tcPr>
          <w:p w14:paraId="35802D07" w14:textId="354C8BFA" w:rsidR="00892617" w:rsidRPr="00FE0C03" w:rsidRDefault="00E668AF" w:rsidP="00060DE6">
            <w:pPr>
              <w:pStyle w:val="BodyText"/>
              <w:ind w:right="144"/>
              <w:rPr>
                <w:b/>
                <w:highlight w:val="yellow"/>
              </w:rPr>
            </w:pPr>
            <w:r w:rsidRPr="00FE0C03">
              <w:rPr>
                <w:b/>
              </w:rPr>
              <w:t>A.1</w:t>
            </w:r>
            <w:r w:rsidR="00FE0C03" w:rsidRPr="00FE0C03">
              <w:rPr>
                <w:b/>
              </w:rPr>
              <w:t>6</w:t>
            </w:r>
            <w:r w:rsidR="00CB258D" w:rsidRPr="00FE0C03">
              <w:rPr>
                <w:b/>
              </w:rPr>
              <w:t>.</w:t>
            </w:r>
          </w:p>
        </w:tc>
      </w:tr>
      <w:tr w:rsidR="007F53F5" w:rsidRPr="00060DE6" w14:paraId="29941C4E" w14:textId="77777777" w:rsidTr="0080059D">
        <w:tc>
          <w:tcPr>
            <w:tcW w:w="3117" w:type="dxa"/>
            <w:vAlign w:val="center"/>
          </w:tcPr>
          <w:p w14:paraId="5AECFE9F" w14:textId="5BE2C1CC" w:rsidR="007F53F5" w:rsidRPr="000740AA" w:rsidRDefault="007F53F5" w:rsidP="00060DE6">
            <w:pPr>
              <w:pStyle w:val="BodyText"/>
              <w:ind w:right="144"/>
            </w:pPr>
            <w:r>
              <w:t>Facility Closure Report</w:t>
            </w:r>
          </w:p>
        </w:tc>
        <w:tc>
          <w:tcPr>
            <w:tcW w:w="4230" w:type="dxa"/>
            <w:vAlign w:val="center"/>
          </w:tcPr>
          <w:p w14:paraId="50F10DFA" w14:textId="1C077AF0" w:rsidR="007F53F5" w:rsidRDefault="007F53F5" w:rsidP="00060DE6">
            <w:pPr>
              <w:suppressAutoHyphens/>
              <w:ind w:right="144"/>
            </w:pPr>
            <w:r>
              <w:t>Within 30 days of waste acceptance cessation</w:t>
            </w:r>
          </w:p>
        </w:tc>
        <w:tc>
          <w:tcPr>
            <w:tcW w:w="2235" w:type="dxa"/>
            <w:vAlign w:val="center"/>
          </w:tcPr>
          <w:p w14:paraId="4AB1FF18" w14:textId="24A043F8" w:rsidR="007F53F5" w:rsidRPr="00E668AF" w:rsidRDefault="00E668AF" w:rsidP="00060DE6">
            <w:pPr>
              <w:pStyle w:val="BodyText"/>
              <w:ind w:right="144"/>
              <w:rPr>
                <w:b/>
                <w:highlight w:val="yellow"/>
              </w:rPr>
            </w:pPr>
            <w:r w:rsidRPr="00E668AF">
              <w:rPr>
                <w:b/>
              </w:rPr>
              <w:t>A.20</w:t>
            </w:r>
            <w:r w:rsidR="00CB258D">
              <w:rPr>
                <w:b/>
              </w:rPr>
              <w:t>.</w:t>
            </w:r>
          </w:p>
        </w:tc>
      </w:tr>
    </w:tbl>
    <w:p w14:paraId="314B90C3" w14:textId="77777777" w:rsidR="006220A0" w:rsidRPr="008E6BC8" w:rsidRDefault="006220A0" w:rsidP="006220A0">
      <w:pPr>
        <w:tabs>
          <w:tab w:val="left" w:pos="0"/>
          <w:tab w:val="left" w:pos="360"/>
          <w:tab w:val="left" w:pos="720"/>
          <w:tab w:val="left" w:pos="1080"/>
          <w:tab w:val="left" w:pos="1260"/>
        </w:tabs>
        <w:spacing w:after="120"/>
      </w:pPr>
      <w:r>
        <w:tab/>
        <w:t>[Rule 62-213.440</w:t>
      </w:r>
      <w:r w:rsidR="006B7012">
        <w:t>(1)(b)</w:t>
      </w:r>
      <w:r>
        <w:t>, F.A.C.]</w:t>
      </w:r>
    </w:p>
    <w:p w14:paraId="75EB024A" w14:textId="4763BFF7" w:rsidR="00CB77B0" w:rsidRDefault="007F53F5" w:rsidP="00CB77B0">
      <w:pPr>
        <w:pStyle w:val="ListParagraph"/>
        <w:numPr>
          <w:ilvl w:val="0"/>
          <w:numId w:val="2"/>
        </w:numPr>
        <w:tabs>
          <w:tab w:val="clear" w:pos="1296"/>
          <w:tab w:val="left" w:pos="-72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contextualSpacing w:val="0"/>
        <w:rPr>
          <w:spacing w:val="-3"/>
        </w:rPr>
      </w:pPr>
      <w:bookmarkStart w:id="36" w:name="SCA15"/>
      <w:bookmarkEnd w:id="36"/>
      <w:r>
        <w:rPr>
          <w:spacing w:val="-3"/>
          <w:u w:val="single"/>
        </w:rPr>
        <w:t>NMOC Emission Rate Reports</w:t>
      </w:r>
      <w:r>
        <w:rPr>
          <w:spacing w:val="-3"/>
        </w:rPr>
        <w:t xml:space="preserve">.  </w:t>
      </w:r>
      <w:r w:rsidR="00CB77B0">
        <w:rPr>
          <w:spacing w:val="-3"/>
        </w:rPr>
        <w:t xml:space="preserve">Each owner or operator subject </w:t>
      </w:r>
      <w:r w:rsidR="00CB77B0" w:rsidRPr="00D07900">
        <w:rPr>
          <w:spacing w:val="-3"/>
        </w:rPr>
        <w:t xml:space="preserve">to the requirements of this subpart must submit NMOC emission rate report following the procedure specified in </w:t>
      </w:r>
      <w:hyperlink w:anchor="SCA15a" w:tooltip=" " w:history="1">
        <w:r w:rsidR="00CB77B0" w:rsidRPr="00D07900">
          <w:rPr>
            <w:rStyle w:val="Hyperlink"/>
            <w:b/>
            <w:color w:val="auto"/>
            <w:spacing w:val="-3"/>
            <w:u w:val="none"/>
          </w:rPr>
          <w:t>paragraph a.</w:t>
        </w:r>
      </w:hyperlink>
      <w:r w:rsidR="00CB77B0" w:rsidRPr="00D07900">
        <w:rPr>
          <w:spacing w:val="-3"/>
        </w:rPr>
        <w:t xml:space="preserve"> of this condition to the Administrator initially and annually thereafter, except as provided for in </w:t>
      </w:r>
      <w:hyperlink w:anchor="SCA15b" w:tooltip=" " w:history="1">
        <w:r w:rsidR="00CB77B0" w:rsidRPr="00D07900">
          <w:rPr>
            <w:rStyle w:val="Hyperlink"/>
            <w:b/>
            <w:color w:val="auto"/>
            <w:spacing w:val="-3"/>
            <w:u w:val="none"/>
          </w:rPr>
          <w:t>paragraph b.</w:t>
        </w:r>
      </w:hyperlink>
      <w:r w:rsidR="00CB77B0" w:rsidRPr="00D07900">
        <w:rPr>
          <w:spacing w:val="-3"/>
        </w:rPr>
        <w:t xml:space="preserve"> of this section.  The Administrator may request such additional information as may be necessary to verify the </w:t>
      </w:r>
      <w:r w:rsidR="00CB77B0">
        <w:rPr>
          <w:spacing w:val="-3"/>
        </w:rPr>
        <w:t>reported NMOC emission rate.</w:t>
      </w:r>
    </w:p>
    <w:p w14:paraId="24B05470" w14:textId="3D801849" w:rsidR="00CB77B0" w:rsidRDefault="00CB77B0" w:rsidP="00CB77B0">
      <w:pPr>
        <w:pStyle w:val="ListParagraph"/>
        <w:numPr>
          <w:ilvl w:val="0"/>
          <w:numId w:val="24"/>
        </w:num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bookmarkStart w:id="37" w:name="SCA15a"/>
      <w:bookmarkEnd w:id="37"/>
      <w:r w:rsidRPr="00CB77B0">
        <w:rPr>
          <w:spacing w:val="-3"/>
        </w:rPr>
        <w:t>Each owner or operator required to submit reports following the procedure specified in this paragraph must submit reports to the EPA via the CEDRI.</w:t>
      </w:r>
      <w:r>
        <w:rPr>
          <w:spacing w:val="-3"/>
        </w:rPr>
        <w:t xml:space="preserve"> </w:t>
      </w:r>
      <w:r w:rsidRPr="00CB77B0">
        <w:rPr>
          <w:spacing w:val="-3"/>
        </w:rPr>
        <w:t xml:space="preserve"> (CEDRI can be accessed through the EPA's CDX.) </w:t>
      </w:r>
      <w:r>
        <w:rPr>
          <w:spacing w:val="-3"/>
        </w:rPr>
        <w:t xml:space="preserve"> </w:t>
      </w:r>
      <w:r w:rsidRPr="00CB77B0">
        <w:rPr>
          <w:spacing w:val="-3"/>
        </w:rPr>
        <w:t>The owner or operator must use the appropriate electronic report in CEDRI for this subpart or an alternate electronic file format consistent with the XML schema listed on the CEDRI Web site (</w:t>
      </w:r>
      <w:r w:rsidRPr="00CB77B0">
        <w:rPr>
          <w:i/>
          <w:iCs/>
          <w:spacing w:val="-3"/>
        </w:rPr>
        <w:t>https://www3.epa.gov/ttn/chief/cedri/index.html</w:t>
      </w:r>
      <w:r w:rsidRPr="00CB77B0">
        <w:rPr>
          <w:spacing w:val="-3"/>
        </w:rPr>
        <w:t xml:space="preserve">). </w:t>
      </w:r>
      <w:r>
        <w:rPr>
          <w:spacing w:val="-3"/>
        </w:rPr>
        <w:t xml:space="preserve"> </w:t>
      </w:r>
      <w:r w:rsidRPr="00CB77B0">
        <w:rPr>
          <w:spacing w:val="-3"/>
        </w:rPr>
        <w:t>If the reporting form specific to this subpart is not available in CEDRI at the time that the report is due, the owner or operator must submit the report to the Administrator at the</w:t>
      </w:r>
      <w:r w:rsidR="00BF1C45">
        <w:rPr>
          <w:spacing w:val="-3"/>
        </w:rPr>
        <w:t xml:space="preserve"> appropriate address listed in 40 CFR </w:t>
      </w:r>
      <w:r w:rsidRPr="00CB77B0">
        <w:rPr>
          <w:spacing w:val="-3"/>
        </w:rPr>
        <w:t>60.4.</w:t>
      </w:r>
      <w:r>
        <w:rPr>
          <w:spacing w:val="-3"/>
        </w:rPr>
        <w:t xml:space="preserve"> </w:t>
      </w:r>
      <w:r w:rsidRPr="00CB77B0">
        <w:rPr>
          <w:spacing w:val="-3"/>
        </w:rPr>
        <w:t xml:space="preserve"> Once the form has been available in CEDRI </w:t>
      </w:r>
      <w:r w:rsidRPr="00CB77B0">
        <w:rPr>
          <w:spacing w:val="-3"/>
        </w:rPr>
        <w:lastRenderedPageBreak/>
        <w:t>for 90 calendar days, the owner or operator must begin submitting all subsequent reports via CEDRI.</w:t>
      </w:r>
      <w:r>
        <w:rPr>
          <w:spacing w:val="-3"/>
        </w:rPr>
        <w:t xml:space="preserve"> </w:t>
      </w:r>
      <w:r w:rsidRPr="00CB77B0">
        <w:rPr>
          <w:spacing w:val="-3"/>
        </w:rPr>
        <w:t xml:space="preserve"> The reports must be submitted by the deadlines specified in this subpart, regardless of the method in which the reports are submitted.</w:t>
      </w:r>
    </w:p>
    <w:p w14:paraId="0DC9EEF9" w14:textId="732EB252" w:rsidR="00CB77B0" w:rsidRDefault="00CB77B0" w:rsidP="00BD1720">
      <w:pPr>
        <w:pStyle w:val="ListParagraph"/>
        <w:numPr>
          <w:ilvl w:val="0"/>
          <w:numId w:val="24"/>
        </w:num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bookmarkStart w:id="38" w:name="SCA15b"/>
      <w:bookmarkStart w:id="39" w:name="_Ref473182735"/>
      <w:bookmarkEnd w:id="38"/>
      <w:r w:rsidRPr="00CB77B0">
        <w:rPr>
          <w:spacing w:val="-3"/>
        </w:rPr>
        <w:t>If the estimated NMOC emission rate as reported in the annual report to the Administrator is less than 34 megagrams per year in each of the next 5 consecutive years, the owner or operator may elect to submit, following the procedure specified in</w:t>
      </w:r>
      <w:r w:rsidR="00BD1720">
        <w:rPr>
          <w:spacing w:val="-3"/>
        </w:rPr>
        <w:t xml:space="preserve"> </w:t>
      </w:r>
      <w:hyperlink w:anchor="SCA15a" w:tooltip=" " w:history="1">
        <w:r w:rsidR="00BD1720" w:rsidRPr="00D07900">
          <w:rPr>
            <w:rStyle w:val="Hyperlink"/>
            <w:b/>
            <w:color w:val="auto"/>
            <w:spacing w:val="-3"/>
            <w:u w:val="none"/>
          </w:rPr>
          <w:t>paragraph a.</w:t>
        </w:r>
      </w:hyperlink>
      <w:r w:rsidRPr="00CB77B0">
        <w:rPr>
          <w:spacing w:val="-3"/>
        </w:rPr>
        <w:t xml:space="preserve"> of this section, an estimate of the NMOC emission rate for the next 5-year period in lieu of the annual report.</w:t>
      </w:r>
      <w:r w:rsidR="00BD1720">
        <w:rPr>
          <w:spacing w:val="-3"/>
        </w:rPr>
        <w:t xml:space="preserve"> </w:t>
      </w:r>
      <w:r w:rsidRPr="00CB77B0">
        <w:rPr>
          <w:spacing w:val="-3"/>
        </w:rPr>
        <w:t xml:space="preserve"> This estimate must include the current amount of solid waste-in-place and the estimated waste acceptance rate for each year of the 5 years for which an NMOC emission rate is estimated.</w:t>
      </w:r>
      <w:r w:rsidR="00BD1720">
        <w:rPr>
          <w:spacing w:val="-3"/>
        </w:rPr>
        <w:t xml:space="preserve"> </w:t>
      </w:r>
      <w:r w:rsidRPr="00CB77B0">
        <w:rPr>
          <w:spacing w:val="-3"/>
        </w:rPr>
        <w:t xml:space="preserve"> All data and calculations upon which this estimate is based must be provided to the Administrator.</w:t>
      </w:r>
      <w:r w:rsidR="00BD1720">
        <w:rPr>
          <w:spacing w:val="-3"/>
        </w:rPr>
        <w:t xml:space="preserve"> </w:t>
      </w:r>
      <w:r w:rsidRPr="00CB77B0">
        <w:rPr>
          <w:spacing w:val="-3"/>
        </w:rPr>
        <w:t xml:space="preserve"> This estimate must be revised at least once every 5 years.</w:t>
      </w:r>
      <w:r w:rsidR="00BD1720">
        <w:rPr>
          <w:spacing w:val="-3"/>
        </w:rPr>
        <w:t xml:space="preserve"> </w:t>
      </w:r>
      <w:r w:rsidRPr="00CB77B0">
        <w:rPr>
          <w:spacing w:val="-3"/>
        </w:rPr>
        <w:t xml:space="preserve"> If the actual waste acceptance rate exceeds the estimated waste acceptance rate in any year reported in the 5-year estimate, a revised 5-year estimate must be submitted to the Administrator.</w:t>
      </w:r>
      <w:r w:rsidR="00BD1720">
        <w:rPr>
          <w:spacing w:val="-3"/>
        </w:rPr>
        <w:t xml:space="preserve"> </w:t>
      </w:r>
      <w:r w:rsidRPr="00CB77B0">
        <w:rPr>
          <w:spacing w:val="-3"/>
        </w:rPr>
        <w:t xml:space="preserve"> The revised estimate must cover the 5-year period beginning with the year in which the actual waste acceptance rate exceeded the estimated waste acceptance rate.</w:t>
      </w:r>
      <w:bookmarkEnd w:id="39"/>
    </w:p>
    <w:p w14:paraId="0A5DAA5A" w14:textId="1F7833B0" w:rsidR="00BD1720" w:rsidRPr="003F48EC" w:rsidRDefault="00BD1720" w:rsidP="00745B33">
      <w:pPr>
        <w:pStyle w:val="ListParagraph"/>
        <w:numPr>
          <w:ilvl w:val="0"/>
          <w:numId w:val="25"/>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1080"/>
        <w:contextualSpacing w:val="0"/>
        <w:rPr>
          <w:spacing w:val="-3"/>
        </w:rPr>
      </w:pPr>
      <w:r>
        <w:rPr>
          <w:spacing w:val="-3"/>
        </w:rPr>
        <w:t xml:space="preserve">The NMOC emission rate report </w:t>
      </w:r>
      <w:r w:rsidRPr="003F48EC">
        <w:rPr>
          <w:spacing w:val="-3"/>
        </w:rPr>
        <w:t xml:space="preserve">must include all the data, calculations, sample reports, and measurements used to estimate the annual or 5-year emissions and an annual or 5-year estimate of the NMOC emission rate calculated using the formula provided in </w:t>
      </w:r>
      <w:hyperlink w:anchor="SCA7" w:tooltip=" " w:history="1">
        <w:r w:rsidR="00D07900" w:rsidRPr="003F48EC">
          <w:rPr>
            <w:rStyle w:val="Hyperlink"/>
            <w:b/>
            <w:color w:val="auto"/>
            <w:u w:val="none"/>
          </w:rPr>
          <w:t>Specific Condition A.7.</w:t>
        </w:r>
      </w:hyperlink>
      <w:r w:rsidR="00D07900" w:rsidRPr="003F48EC">
        <w:t xml:space="preserve"> or </w:t>
      </w:r>
      <w:hyperlink w:anchor="SCA8" w:tooltip=" " w:history="1">
        <w:r w:rsidR="00D07900" w:rsidRPr="003F48EC">
          <w:rPr>
            <w:rStyle w:val="Hyperlink"/>
            <w:b/>
            <w:color w:val="auto"/>
            <w:u w:val="none"/>
          </w:rPr>
          <w:t>Specific Condition A.8.</w:t>
        </w:r>
      </w:hyperlink>
      <w:r w:rsidRPr="003F48EC">
        <w:rPr>
          <w:spacing w:val="-3"/>
        </w:rPr>
        <w:t xml:space="preserve"> and procedures provided in </w:t>
      </w:r>
      <w:hyperlink w:anchor="SCA9" w:history="1">
        <w:r w:rsidRPr="003F48EC">
          <w:rPr>
            <w:rStyle w:val="Hyperlink"/>
            <w:b/>
            <w:color w:val="auto"/>
            <w:spacing w:val="-3"/>
            <w:u w:val="none"/>
          </w:rPr>
          <w:t>Specific Conditions A.</w:t>
        </w:r>
        <w:r w:rsidR="003F48EC" w:rsidRPr="003F48EC">
          <w:rPr>
            <w:rStyle w:val="Hyperlink"/>
            <w:b/>
            <w:color w:val="auto"/>
            <w:spacing w:val="-3"/>
            <w:u w:val="none"/>
          </w:rPr>
          <w:t>9</w:t>
        </w:r>
        <w:r w:rsidR="0012756C" w:rsidRPr="003F48EC">
          <w:rPr>
            <w:rStyle w:val="Hyperlink"/>
            <w:b/>
            <w:color w:val="auto"/>
            <w:spacing w:val="-3"/>
            <w:u w:val="none"/>
          </w:rPr>
          <w:t>.</w:t>
        </w:r>
      </w:hyperlink>
      <w:r w:rsidRPr="003F48EC">
        <w:rPr>
          <w:spacing w:val="-3"/>
        </w:rPr>
        <w:t xml:space="preserve">, </w:t>
      </w:r>
      <w:hyperlink w:anchor="SCA10" w:history="1">
        <w:r w:rsidRPr="003F48EC">
          <w:rPr>
            <w:rStyle w:val="Hyperlink"/>
            <w:b/>
            <w:color w:val="auto"/>
            <w:spacing w:val="-3"/>
            <w:u w:val="none"/>
          </w:rPr>
          <w:t>A.</w:t>
        </w:r>
        <w:r w:rsidR="003F48EC" w:rsidRPr="003F48EC">
          <w:rPr>
            <w:rStyle w:val="Hyperlink"/>
            <w:b/>
            <w:color w:val="auto"/>
            <w:spacing w:val="-3"/>
            <w:u w:val="none"/>
          </w:rPr>
          <w:t>10</w:t>
        </w:r>
        <w:r w:rsidR="0012756C" w:rsidRPr="003F48EC">
          <w:rPr>
            <w:rStyle w:val="Hyperlink"/>
            <w:b/>
            <w:color w:val="auto"/>
            <w:spacing w:val="-3"/>
            <w:u w:val="none"/>
          </w:rPr>
          <w:t>.</w:t>
        </w:r>
      </w:hyperlink>
      <w:r w:rsidRPr="003F48EC">
        <w:rPr>
          <w:spacing w:val="-3"/>
        </w:rPr>
        <w:t xml:space="preserve">, </w:t>
      </w:r>
      <w:hyperlink w:anchor="SCA11" w:history="1">
        <w:r w:rsidRPr="003F48EC">
          <w:rPr>
            <w:rStyle w:val="Hyperlink"/>
            <w:b/>
            <w:color w:val="auto"/>
            <w:spacing w:val="-3"/>
            <w:u w:val="none"/>
          </w:rPr>
          <w:t>A.</w:t>
        </w:r>
        <w:r w:rsidR="003F48EC" w:rsidRPr="003F48EC">
          <w:rPr>
            <w:rStyle w:val="Hyperlink"/>
            <w:b/>
            <w:color w:val="auto"/>
            <w:spacing w:val="-3"/>
            <w:u w:val="none"/>
          </w:rPr>
          <w:t>11</w:t>
        </w:r>
        <w:r w:rsidR="0012756C" w:rsidRPr="003F48EC">
          <w:rPr>
            <w:rStyle w:val="Hyperlink"/>
            <w:b/>
            <w:color w:val="auto"/>
            <w:spacing w:val="-3"/>
            <w:u w:val="none"/>
          </w:rPr>
          <w:t>.</w:t>
        </w:r>
      </w:hyperlink>
      <w:r w:rsidRPr="003F48EC">
        <w:rPr>
          <w:spacing w:val="-3"/>
        </w:rPr>
        <w:t xml:space="preserve">, and </w:t>
      </w:r>
      <w:hyperlink w:anchor="SCA12" w:history="1">
        <w:r w:rsidRPr="003F48EC">
          <w:rPr>
            <w:rStyle w:val="Hyperlink"/>
            <w:b/>
            <w:color w:val="auto"/>
            <w:spacing w:val="-3"/>
            <w:u w:val="none"/>
          </w:rPr>
          <w:t>A.</w:t>
        </w:r>
        <w:r w:rsidR="003F48EC" w:rsidRPr="003F48EC">
          <w:rPr>
            <w:rStyle w:val="Hyperlink"/>
            <w:b/>
            <w:color w:val="auto"/>
            <w:spacing w:val="-3"/>
            <w:u w:val="none"/>
          </w:rPr>
          <w:t>12</w:t>
        </w:r>
        <w:r w:rsidRPr="003F48EC">
          <w:rPr>
            <w:rStyle w:val="Hyperlink"/>
            <w:b/>
            <w:color w:val="auto"/>
            <w:spacing w:val="-3"/>
            <w:u w:val="none"/>
          </w:rPr>
          <w:t>.</w:t>
        </w:r>
      </w:hyperlink>
      <w:r w:rsidRPr="003F48EC">
        <w:rPr>
          <w:spacing w:val="-3"/>
        </w:rPr>
        <w:t>, as applicable.</w:t>
      </w:r>
    </w:p>
    <w:p w14:paraId="710165E5" w14:textId="3CCF034E" w:rsidR="00745B33" w:rsidRPr="003F48EC" w:rsidRDefault="00745B33" w:rsidP="00DD755C">
      <w:p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3F48EC">
        <w:rPr>
          <w:spacing w:val="-3"/>
        </w:rPr>
        <w:t>[40 CFR 60.767(b)(1), 40 CFR 60.767(b)(1)(ii)</w:t>
      </w:r>
      <w:r w:rsidR="00A25020" w:rsidRPr="003F48EC">
        <w:rPr>
          <w:spacing w:val="-3"/>
        </w:rPr>
        <w:t>, 40 CFR 60.767(i)(2)</w:t>
      </w:r>
      <w:r w:rsidRPr="003F48EC">
        <w:rPr>
          <w:spacing w:val="-3"/>
        </w:rPr>
        <w:t>]</w:t>
      </w:r>
    </w:p>
    <w:p w14:paraId="2D1E5B14" w14:textId="2325E6F8" w:rsidR="00745B33" w:rsidRDefault="008C3D4F" w:rsidP="007364BA">
      <w:pPr>
        <w:pStyle w:val="ListParagraph"/>
        <w:numPr>
          <w:ilvl w:val="0"/>
          <w:numId w:val="2"/>
        </w:numPr>
        <w:tabs>
          <w:tab w:val="clear" w:pos="1296"/>
          <w:tab w:val="left" w:pos="-720"/>
          <w:tab w:val="num"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contextualSpacing w:val="0"/>
        <w:rPr>
          <w:spacing w:val="-3"/>
        </w:rPr>
      </w:pPr>
      <w:bookmarkStart w:id="40" w:name="SCA16"/>
      <w:bookmarkEnd w:id="40"/>
      <w:r w:rsidRPr="003F48EC">
        <w:rPr>
          <w:spacing w:val="-3"/>
          <w:u w:val="single"/>
        </w:rPr>
        <w:t>Collection and Control System Design Plan</w:t>
      </w:r>
      <w:r w:rsidR="00FE0C03" w:rsidRPr="003F48EC">
        <w:rPr>
          <w:spacing w:val="-3"/>
          <w:u w:val="single"/>
        </w:rPr>
        <w:t xml:space="preserve"> Report</w:t>
      </w:r>
      <w:r w:rsidRPr="003F48EC">
        <w:rPr>
          <w:spacing w:val="-3"/>
        </w:rPr>
        <w:t xml:space="preserve">.  </w:t>
      </w:r>
      <w:r w:rsidR="002D0DDF" w:rsidRPr="003F48EC">
        <w:rPr>
          <w:spacing w:val="-3"/>
        </w:rPr>
        <w:t xml:space="preserve">Each owner or operator subject to the provisions of </w:t>
      </w:r>
      <w:hyperlink w:anchor="SCA2b" w:tooltip=" " w:history="1">
        <w:r w:rsidR="007364BA" w:rsidRPr="003F48EC">
          <w:rPr>
            <w:rStyle w:val="Hyperlink"/>
            <w:b/>
            <w:color w:val="auto"/>
            <w:spacing w:val="-3"/>
            <w:u w:val="none"/>
          </w:rPr>
          <w:t>Specific Condition A.2</w:t>
        </w:r>
        <w:r w:rsidR="0012756C" w:rsidRPr="003F48EC">
          <w:rPr>
            <w:rStyle w:val="Hyperlink"/>
            <w:b/>
            <w:color w:val="auto"/>
            <w:spacing w:val="-3"/>
            <w:u w:val="none"/>
          </w:rPr>
          <w:t>.</w:t>
        </w:r>
        <w:r w:rsidR="007364BA" w:rsidRPr="003F48EC">
          <w:rPr>
            <w:rStyle w:val="Hyperlink"/>
            <w:b/>
            <w:color w:val="auto"/>
            <w:spacing w:val="-3"/>
            <w:u w:val="none"/>
          </w:rPr>
          <w:t>b</w:t>
        </w:r>
        <w:r w:rsidR="009E10C2" w:rsidRPr="003F48EC">
          <w:rPr>
            <w:rStyle w:val="Hyperlink"/>
            <w:b/>
            <w:color w:val="auto"/>
            <w:spacing w:val="-3"/>
            <w:u w:val="none"/>
          </w:rPr>
          <w:t>.</w:t>
        </w:r>
      </w:hyperlink>
      <w:r w:rsidR="007364BA" w:rsidRPr="003F48EC">
        <w:rPr>
          <w:spacing w:val="-3"/>
        </w:rPr>
        <w:t xml:space="preserve"> must submit a collection and control system design plan to the Administrator for approval according to the schedule in </w:t>
      </w:r>
      <w:hyperlink w:anchor="SCA16d" w:tooltip=" " w:history="1">
        <w:r w:rsidR="007364BA" w:rsidRPr="003F48EC">
          <w:rPr>
            <w:rStyle w:val="Hyperlink"/>
            <w:b/>
            <w:color w:val="auto"/>
            <w:spacing w:val="-3"/>
            <w:u w:val="none"/>
          </w:rPr>
          <w:t>paragraph d.</w:t>
        </w:r>
      </w:hyperlink>
      <w:r w:rsidR="007364BA" w:rsidRPr="003F48EC">
        <w:rPr>
          <w:spacing w:val="-3"/>
        </w:rPr>
        <w:t xml:space="preserve"> of this condition.  The collection and control system design </w:t>
      </w:r>
      <w:r w:rsidR="007364BA">
        <w:rPr>
          <w:spacing w:val="-3"/>
        </w:rPr>
        <w:t>plan must be prepared and approved by a professional engineer and must meet the following requirements:</w:t>
      </w:r>
    </w:p>
    <w:p w14:paraId="099A1CBF" w14:textId="739AFE67" w:rsidR="007364BA" w:rsidRDefault="007364BA" w:rsidP="00596C89">
      <w:pPr>
        <w:pStyle w:val="ListParagraph"/>
        <w:numPr>
          <w:ilvl w:val="0"/>
          <w:numId w:val="26"/>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bookmarkStart w:id="41" w:name="SCA16a"/>
      <w:bookmarkEnd w:id="41"/>
      <w:r>
        <w:rPr>
          <w:spacing w:val="-3"/>
        </w:rPr>
        <w:t xml:space="preserve">The collection and control system as described in the design plan must meet the design requirements in </w:t>
      </w:r>
      <w:r w:rsidR="00596C89">
        <w:rPr>
          <w:spacing w:val="-3"/>
        </w:rPr>
        <w:t>40 CFR 60.762(b)(2).</w:t>
      </w:r>
    </w:p>
    <w:p w14:paraId="1C1EB83F" w14:textId="05B7B6F9" w:rsidR="0040718F" w:rsidRDefault="0040718F" w:rsidP="00596C89">
      <w:pPr>
        <w:pStyle w:val="ListParagraph"/>
        <w:numPr>
          <w:ilvl w:val="0"/>
          <w:numId w:val="26"/>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r w:rsidRPr="0040718F">
        <w:rPr>
          <w:spacing w:val="-3"/>
        </w:rPr>
        <w:t xml:space="preserve">The collection and control system design plan must include any alternatives to the operational standards, test methods, procedures, compliance measures, monitoring, recordkeeping or reporting provisions of </w:t>
      </w:r>
      <w:r>
        <w:rPr>
          <w:spacing w:val="-3"/>
        </w:rPr>
        <w:t xml:space="preserve">40 CFR </w:t>
      </w:r>
      <w:r w:rsidRPr="0040718F">
        <w:rPr>
          <w:spacing w:val="-3"/>
        </w:rPr>
        <w:t>60.763 through 60.768 proposed by the owner or operator.</w:t>
      </w:r>
    </w:p>
    <w:p w14:paraId="09F30D63" w14:textId="3979BE15" w:rsidR="00596C89" w:rsidRDefault="00C646A3" w:rsidP="0045281A">
      <w:pPr>
        <w:pStyle w:val="ListParagraph"/>
        <w:numPr>
          <w:ilvl w:val="0"/>
          <w:numId w:val="26"/>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r>
        <w:rPr>
          <w:spacing w:val="-3"/>
        </w:rPr>
        <w:t>The collection and control system design plan must either conform with specifications for active collection systems in 40 CFR 60.769 or include a demonstration to the Administrator’s satisfaction to the sufficiency of the alternative provisions to 40 CFR 60.769.</w:t>
      </w:r>
    </w:p>
    <w:p w14:paraId="0E7DF42A" w14:textId="719BE324" w:rsidR="0045281A" w:rsidRPr="008562C2" w:rsidRDefault="0045281A" w:rsidP="0045281A">
      <w:pPr>
        <w:pStyle w:val="ListParagraph"/>
        <w:numPr>
          <w:ilvl w:val="0"/>
          <w:numId w:val="26"/>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bookmarkStart w:id="42" w:name="SCA16d"/>
      <w:bookmarkEnd w:id="42"/>
      <w:r w:rsidRPr="0045281A">
        <w:rPr>
          <w:spacing w:val="-3"/>
        </w:rPr>
        <w:t xml:space="preserve">Each owner or operator of an MSW landfill having a design capacity equal to or greater than 2.5 million megagrams and 2.5 million cubic meters must submit a collection and control system design plan to the Administrator for approval within 1 year of the first NMOC emission rate </w:t>
      </w:r>
      <w:r w:rsidRPr="008562C2">
        <w:rPr>
          <w:spacing w:val="-3"/>
        </w:rPr>
        <w:t xml:space="preserve">report in which the NMOC emission rate equals or exceeds 34 megagrams per year, except if the owner or operator proceeds to measure the NMOC emission rate using the next higher tier and follows the reporting guidelines in </w:t>
      </w:r>
      <w:hyperlink w:anchor="SCA17" w:tooltip=" " w:history="1">
        <w:r w:rsidRPr="008562C2">
          <w:rPr>
            <w:rStyle w:val="Hyperlink"/>
            <w:b/>
            <w:color w:val="auto"/>
            <w:spacing w:val="-3"/>
            <w:u w:val="none"/>
          </w:rPr>
          <w:t>Specific Conditions A.1</w:t>
        </w:r>
        <w:r w:rsidR="00D50707" w:rsidRPr="008562C2">
          <w:rPr>
            <w:rStyle w:val="Hyperlink"/>
            <w:b/>
            <w:color w:val="auto"/>
            <w:spacing w:val="-3"/>
            <w:u w:val="none"/>
          </w:rPr>
          <w:t>7</w:t>
        </w:r>
        <w:r w:rsidR="009E10C2" w:rsidRPr="008562C2">
          <w:rPr>
            <w:rStyle w:val="Hyperlink"/>
            <w:b/>
            <w:color w:val="auto"/>
            <w:spacing w:val="-3"/>
            <w:u w:val="none"/>
          </w:rPr>
          <w:t>.</w:t>
        </w:r>
      </w:hyperlink>
      <w:r w:rsidR="00D50707" w:rsidRPr="008562C2">
        <w:rPr>
          <w:spacing w:val="-3"/>
        </w:rPr>
        <w:t xml:space="preserve">, </w:t>
      </w:r>
      <w:hyperlink w:anchor="SCA18" w:tooltip=" " w:history="1">
        <w:r w:rsidR="00385D0C" w:rsidRPr="008562C2">
          <w:rPr>
            <w:rStyle w:val="Hyperlink"/>
            <w:b/>
            <w:color w:val="auto"/>
            <w:spacing w:val="-3"/>
            <w:u w:val="none"/>
          </w:rPr>
          <w:t>A.18.</w:t>
        </w:r>
      </w:hyperlink>
      <w:r w:rsidR="00385D0C" w:rsidRPr="008562C2">
        <w:rPr>
          <w:spacing w:val="-3"/>
        </w:rPr>
        <w:t xml:space="preserve">, </w:t>
      </w:r>
      <w:hyperlink w:anchor="SCA19" w:tooltip=" " w:history="1">
        <w:r w:rsidRPr="008562C2">
          <w:rPr>
            <w:rStyle w:val="Hyperlink"/>
            <w:b/>
            <w:color w:val="auto"/>
            <w:spacing w:val="-3"/>
            <w:u w:val="none"/>
          </w:rPr>
          <w:t>A.1</w:t>
        </w:r>
        <w:r w:rsidR="00385D0C" w:rsidRPr="008562C2">
          <w:rPr>
            <w:rStyle w:val="Hyperlink"/>
            <w:b/>
            <w:color w:val="auto"/>
            <w:spacing w:val="-3"/>
            <w:u w:val="none"/>
          </w:rPr>
          <w:t>9</w:t>
        </w:r>
        <w:r w:rsidR="009E10C2" w:rsidRPr="008562C2">
          <w:rPr>
            <w:rStyle w:val="Hyperlink"/>
            <w:b/>
            <w:color w:val="auto"/>
            <w:spacing w:val="-3"/>
            <w:u w:val="none"/>
          </w:rPr>
          <w:t>.</w:t>
        </w:r>
      </w:hyperlink>
      <w:r w:rsidRPr="008562C2">
        <w:rPr>
          <w:spacing w:val="-3"/>
        </w:rPr>
        <w:t>, as applicable.</w:t>
      </w:r>
    </w:p>
    <w:p w14:paraId="2784A7A2" w14:textId="547D4845" w:rsidR="0045281A" w:rsidRDefault="0045281A" w:rsidP="0045281A">
      <w:pPr>
        <w:pStyle w:val="ListParagraph"/>
        <w:numPr>
          <w:ilvl w:val="0"/>
          <w:numId w:val="26"/>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r w:rsidRPr="008562C2">
        <w:rPr>
          <w:spacing w:val="-3"/>
        </w:rPr>
        <w:t xml:space="preserve">The landfill owner or operator must notify the Administrator that the design plan is completed </w:t>
      </w:r>
      <w:r w:rsidRPr="0045281A">
        <w:rPr>
          <w:spacing w:val="-3"/>
        </w:rPr>
        <w:t>and submit a copy of the plan's signature page.</w:t>
      </w:r>
      <w:r>
        <w:rPr>
          <w:spacing w:val="-3"/>
        </w:rPr>
        <w:t xml:space="preserve"> </w:t>
      </w:r>
      <w:r w:rsidRPr="0045281A">
        <w:rPr>
          <w:spacing w:val="-3"/>
        </w:rPr>
        <w:t xml:space="preserve"> The Administrator has 90 days to decide whether the design plan should be submitted for review.</w:t>
      </w:r>
      <w:r>
        <w:rPr>
          <w:spacing w:val="-3"/>
        </w:rPr>
        <w:t xml:space="preserve"> </w:t>
      </w:r>
      <w:r w:rsidRPr="0045281A">
        <w:rPr>
          <w:spacing w:val="-3"/>
        </w:rPr>
        <w:t xml:space="preserve"> If the Administrator chooses to review the plan, the approval process continues as described in paragraph (c)(6) of this section. </w:t>
      </w:r>
      <w:r>
        <w:rPr>
          <w:spacing w:val="-3"/>
        </w:rPr>
        <w:t xml:space="preserve"> </w:t>
      </w:r>
      <w:r w:rsidRPr="0045281A">
        <w:rPr>
          <w:spacing w:val="-3"/>
        </w:rPr>
        <w:t>However, if the Administrator indicates that submission is not required or does not respond within 90 days, the landfill owner or operator can continue to implement the plan with the recognition that the owner or operator is proceeding at their own risk.</w:t>
      </w:r>
      <w:r>
        <w:rPr>
          <w:spacing w:val="-3"/>
        </w:rPr>
        <w:t xml:space="preserve"> </w:t>
      </w:r>
      <w:r w:rsidRPr="0045281A">
        <w:rPr>
          <w:spacing w:val="-3"/>
        </w:rPr>
        <w:t xml:space="preserve"> In the event that the design plan is required to be modified to obtain approval, the owner or operator must take any steps necessary to conform any prior actions to the approved design plan and any failure to do so could result in an enforcement action.</w:t>
      </w:r>
    </w:p>
    <w:p w14:paraId="654A5B00" w14:textId="5DEEED6D" w:rsidR="000C0B20" w:rsidRDefault="000C0B20" w:rsidP="0045281A">
      <w:pPr>
        <w:pStyle w:val="ListParagraph"/>
        <w:numPr>
          <w:ilvl w:val="0"/>
          <w:numId w:val="26"/>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r>
        <w:rPr>
          <w:spacing w:val="-3"/>
        </w:rPr>
        <w:t xml:space="preserve">The owner or operator who has already been required to submit a design plan under the </w:t>
      </w:r>
      <w:hyperlink w:anchor="SCA16a" w:tooltip=" " w:history="1">
        <w:r w:rsidRPr="008562C2">
          <w:rPr>
            <w:rStyle w:val="Hyperlink"/>
            <w:b/>
            <w:color w:val="auto"/>
            <w:spacing w:val="-3"/>
            <w:u w:val="none"/>
          </w:rPr>
          <w:t>paragraphs a. through d.</w:t>
        </w:r>
      </w:hyperlink>
      <w:r>
        <w:rPr>
          <w:b/>
          <w:spacing w:val="-3"/>
        </w:rPr>
        <w:t xml:space="preserve"> </w:t>
      </w:r>
      <w:r>
        <w:rPr>
          <w:spacing w:val="-3"/>
        </w:rPr>
        <w:t>of this condition must submit a revised design plan to the Administrator for approval as follows:</w:t>
      </w:r>
    </w:p>
    <w:p w14:paraId="7F115464" w14:textId="6B2DEC60" w:rsidR="000C0B20" w:rsidRDefault="000C0B20" w:rsidP="000C0B20">
      <w:pPr>
        <w:pStyle w:val="ListParagraph"/>
        <w:numPr>
          <w:ilvl w:val="0"/>
          <w:numId w:val="27"/>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1080"/>
        <w:contextualSpacing w:val="0"/>
        <w:rPr>
          <w:spacing w:val="-3"/>
        </w:rPr>
      </w:pPr>
      <w:r>
        <w:rPr>
          <w:spacing w:val="-3"/>
        </w:rPr>
        <w:lastRenderedPageBreak/>
        <w:t>At least 90 days before expanding operations to an area not covered by the previously approved design plan.</w:t>
      </w:r>
    </w:p>
    <w:p w14:paraId="5BD2030E" w14:textId="6B285750" w:rsidR="000C0B20" w:rsidRDefault="000C0B20" w:rsidP="000C0B20">
      <w:pPr>
        <w:pStyle w:val="ListParagraph"/>
        <w:numPr>
          <w:ilvl w:val="0"/>
          <w:numId w:val="27"/>
        </w:num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1080"/>
        <w:contextualSpacing w:val="0"/>
        <w:rPr>
          <w:spacing w:val="-3"/>
        </w:rPr>
      </w:pPr>
      <w:r>
        <w:rPr>
          <w:spacing w:val="-3"/>
        </w:rPr>
        <w:t xml:space="preserve">Prior to installing or expanding the gas collection system in a way that is not consistent with the design plan that was submitted to the Administrator according to </w:t>
      </w:r>
      <w:hyperlink w:anchor="SCA16a" w:tooltip=" " w:history="1">
        <w:r w:rsidR="008562C2" w:rsidRPr="008562C2">
          <w:rPr>
            <w:rStyle w:val="Hyperlink"/>
            <w:b/>
            <w:color w:val="auto"/>
            <w:spacing w:val="-3"/>
            <w:u w:val="none"/>
          </w:rPr>
          <w:t>paragraphs a. through d.</w:t>
        </w:r>
      </w:hyperlink>
      <w:r>
        <w:rPr>
          <w:spacing w:val="-3"/>
        </w:rPr>
        <w:t xml:space="preserve"> </w:t>
      </w:r>
    </w:p>
    <w:p w14:paraId="66260FEB" w14:textId="4665EA0E" w:rsidR="0045281A" w:rsidRDefault="0045281A" w:rsidP="0045281A">
      <w:pPr>
        <w:pStyle w:val="ListParagraph"/>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rPr>
          <w:spacing w:val="-3"/>
        </w:rPr>
      </w:pPr>
      <w:r>
        <w:rPr>
          <w:spacing w:val="-3"/>
        </w:rPr>
        <w:t>[40 CFR 60.767(c)</w:t>
      </w:r>
      <w:r w:rsidR="000C0B20">
        <w:rPr>
          <w:spacing w:val="-3"/>
        </w:rPr>
        <w:t xml:space="preserve"> and (d)</w:t>
      </w:r>
      <w:r>
        <w:rPr>
          <w:spacing w:val="-3"/>
        </w:rPr>
        <w:t>]</w:t>
      </w:r>
    </w:p>
    <w:p w14:paraId="16F8E66E" w14:textId="34A61E18" w:rsidR="005C6D9F" w:rsidRPr="00FB0A20" w:rsidRDefault="0045281A" w:rsidP="000E40A8">
      <w:pPr>
        <w:pStyle w:val="ListParagraph"/>
        <w:numPr>
          <w:ilvl w:val="0"/>
          <w:numId w:val="2"/>
        </w:numPr>
        <w:tabs>
          <w:tab w:val="clear" w:pos="1296"/>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contextualSpacing w:val="0"/>
        <w:rPr>
          <w:spacing w:val="-3"/>
        </w:rPr>
      </w:pPr>
      <w:bookmarkStart w:id="43" w:name="SCA17"/>
      <w:bookmarkEnd w:id="43"/>
      <w:r w:rsidRPr="00FB0A20">
        <w:rPr>
          <w:spacing w:val="-3"/>
          <w:u w:val="single"/>
        </w:rPr>
        <w:t>Tier 2 NMOC Analysis Reporting</w:t>
      </w:r>
      <w:r w:rsidRPr="00FB0A20">
        <w:rPr>
          <w:spacing w:val="-3"/>
        </w:rPr>
        <w:t>.</w:t>
      </w:r>
      <w:r w:rsidR="000C0B20" w:rsidRPr="00FB0A20">
        <w:rPr>
          <w:spacing w:val="-3"/>
        </w:rPr>
        <w:t xml:space="preserve">  If the owner or operator elects to recalculate the NMOC emission rate after Tier 2 NMOC sampling and analysis as provided</w:t>
      </w:r>
      <w:r w:rsidR="005C6D9F" w:rsidRPr="00FB0A20">
        <w:rPr>
          <w:spacing w:val="-3"/>
        </w:rPr>
        <w:t xml:space="preserve"> in </w:t>
      </w:r>
      <w:hyperlink w:anchor="SCA10" w:tooltip=" " w:history="1">
        <w:r w:rsidR="005C6D9F" w:rsidRPr="008562C2">
          <w:rPr>
            <w:rStyle w:val="Hyperlink"/>
            <w:b/>
            <w:color w:val="auto"/>
            <w:spacing w:val="-3"/>
            <w:u w:val="none"/>
          </w:rPr>
          <w:t>Specific Condition A.</w:t>
        </w:r>
        <w:r w:rsidR="008562C2" w:rsidRPr="008562C2">
          <w:rPr>
            <w:rStyle w:val="Hyperlink"/>
            <w:b/>
            <w:color w:val="auto"/>
            <w:spacing w:val="-3"/>
            <w:u w:val="none"/>
          </w:rPr>
          <w:t>10</w:t>
        </w:r>
        <w:r w:rsidR="009E10C2" w:rsidRPr="008562C2">
          <w:rPr>
            <w:rStyle w:val="Hyperlink"/>
            <w:b/>
            <w:color w:val="auto"/>
            <w:spacing w:val="-3"/>
            <w:u w:val="none"/>
          </w:rPr>
          <w:t>.</w:t>
        </w:r>
      </w:hyperlink>
      <w:r w:rsidR="005C6D9F" w:rsidRPr="00FB0A20">
        <w:rPr>
          <w:spacing w:val="-3"/>
        </w:rPr>
        <w:t xml:space="preserve"> and the resulting rate is less than 34 megagrams per year, annual periodic reporting must be resumed, using the Tier 2 determined site-specific NMOC concentration, until the calculated emission rate is equal to or greater than 34 megagrams per year or the landfill is closed.  The revised NMOC emission rate report, with the recalculated emission rate based on NMOC sampling and analysis, must be submitted, following the procedures in </w:t>
      </w:r>
      <w:hyperlink w:anchor="SCA15a" w:tooltip=" " w:history="1">
        <w:r w:rsidR="005C6D9F" w:rsidRPr="00FD115E">
          <w:rPr>
            <w:rStyle w:val="Hyperlink"/>
            <w:b/>
            <w:color w:val="auto"/>
            <w:spacing w:val="-3"/>
            <w:u w:val="none"/>
          </w:rPr>
          <w:t>Specific Condition A</w:t>
        </w:r>
        <w:r w:rsidR="005E03A3" w:rsidRPr="00FD115E">
          <w:rPr>
            <w:rStyle w:val="Hyperlink"/>
            <w:b/>
            <w:color w:val="auto"/>
            <w:spacing w:val="-3"/>
            <w:u w:val="none"/>
          </w:rPr>
          <w:t>.</w:t>
        </w:r>
        <w:r w:rsidR="005C6D9F" w:rsidRPr="00FD115E">
          <w:rPr>
            <w:rStyle w:val="Hyperlink"/>
            <w:b/>
            <w:color w:val="auto"/>
            <w:spacing w:val="-3"/>
            <w:u w:val="none"/>
          </w:rPr>
          <w:t>1</w:t>
        </w:r>
        <w:r w:rsidR="00FD115E" w:rsidRPr="00FD115E">
          <w:rPr>
            <w:rStyle w:val="Hyperlink"/>
            <w:b/>
            <w:color w:val="auto"/>
            <w:spacing w:val="-3"/>
            <w:u w:val="none"/>
          </w:rPr>
          <w:t>5</w:t>
        </w:r>
        <w:r w:rsidR="005C6D9F" w:rsidRPr="00FD115E">
          <w:rPr>
            <w:rStyle w:val="Hyperlink"/>
            <w:b/>
            <w:color w:val="auto"/>
            <w:spacing w:val="-3"/>
            <w:u w:val="none"/>
          </w:rPr>
          <w:t>.a.</w:t>
        </w:r>
      </w:hyperlink>
      <w:r w:rsidR="005C6D9F" w:rsidRPr="00FB0A20">
        <w:rPr>
          <w:spacing w:val="-3"/>
        </w:rPr>
        <w:t xml:space="preserve"> of this section, within 180 days of the first calculated exceedance of 34 megagrams per year.</w:t>
      </w:r>
      <w:r w:rsidR="00EC0629" w:rsidRPr="00FB0A20">
        <w:rPr>
          <w:spacing w:val="-3"/>
        </w:rPr>
        <w:t xml:space="preserve">  The owner or operator must submit the results of each performance test (as defined in 40 CFR 60.8) according to </w:t>
      </w:r>
      <w:r w:rsidR="00FB0A20" w:rsidRPr="00FB0A20">
        <w:rPr>
          <w:spacing w:val="-3"/>
        </w:rPr>
        <w:t>40 CFR 60.767(i)(1)</w:t>
      </w:r>
      <w:r w:rsidR="00EC0629" w:rsidRPr="00FB0A20">
        <w:rPr>
          <w:spacing w:val="-3"/>
        </w:rPr>
        <w:t xml:space="preserve"> within 60 days after the date of test completion.</w:t>
      </w:r>
      <w:r w:rsidR="005C6D9F" w:rsidRPr="00FB0A20">
        <w:rPr>
          <w:spacing w:val="-3"/>
        </w:rPr>
        <w:t xml:space="preserve">  [40 CFR 60.767(b)(4)</w:t>
      </w:r>
      <w:r w:rsidR="005E03A3" w:rsidRPr="00FB0A20">
        <w:rPr>
          <w:spacing w:val="-3"/>
        </w:rPr>
        <w:t>(i)</w:t>
      </w:r>
      <w:r w:rsidR="00EC0629" w:rsidRPr="00FB0A20">
        <w:rPr>
          <w:spacing w:val="-3"/>
        </w:rPr>
        <w:t>, 40 CFR 60.764(a)(3)(i)</w:t>
      </w:r>
      <w:r w:rsidR="005C6D9F" w:rsidRPr="00FB0A20">
        <w:rPr>
          <w:spacing w:val="-3"/>
        </w:rPr>
        <w:t>]</w:t>
      </w:r>
    </w:p>
    <w:p w14:paraId="7E6DDBE8" w14:textId="570EDB3A" w:rsidR="005E03A3" w:rsidRPr="005E03A3" w:rsidRDefault="005C6D9F" w:rsidP="005E03A3">
      <w:pPr>
        <w:pStyle w:val="ListParagraph"/>
        <w:numPr>
          <w:ilvl w:val="0"/>
          <w:numId w:val="2"/>
        </w:numPr>
        <w:tabs>
          <w:tab w:val="clear" w:pos="1296"/>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contextualSpacing w:val="0"/>
        <w:rPr>
          <w:spacing w:val="-3"/>
        </w:rPr>
      </w:pPr>
      <w:bookmarkStart w:id="44" w:name="SCA18"/>
      <w:bookmarkEnd w:id="44"/>
      <w:r>
        <w:rPr>
          <w:spacing w:val="-3"/>
          <w:u w:val="single"/>
        </w:rPr>
        <w:t>Tier 3 NMOC Analysis Reporting</w:t>
      </w:r>
      <w:r>
        <w:rPr>
          <w:spacing w:val="-3"/>
        </w:rPr>
        <w:t xml:space="preserve">.  </w:t>
      </w:r>
      <w:r w:rsidR="005E03A3" w:rsidRPr="005E03A3">
        <w:rPr>
          <w:spacing w:val="-3"/>
        </w:rPr>
        <w:t xml:space="preserve">If the owner or operator elects to recalculate the NMOC emission rate after determining a site-specific methane generation rate constant k, as provided in Tier 3 in </w:t>
      </w:r>
      <w:hyperlink w:anchor="SCA11" w:tooltip=" " w:history="1">
        <w:r w:rsidR="005E03A3" w:rsidRPr="00FD115E">
          <w:rPr>
            <w:rStyle w:val="Hyperlink"/>
            <w:b/>
            <w:color w:val="auto"/>
            <w:spacing w:val="-3"/>
            <w:u w:val="none"/>
          </w:rPr>
          <w:t>Specific Condition A.</w:t>
        </w:r>
        <w:r w:rsidR="00FD115E" w:rsidRPr="00FD115E">
          <w:rPr>
            <w:rStyle w:val="Hyperlink"/>
            <w:b/>
            <w:color w:val="auto"/>
            <w:spacing w:val="-3"/>
            <w:u w:val="none"/>
          </w:rPr>
          <w:t>11</w:t>
        </w:r>
        <w:r w:rsidR="009E10C2" w:rsidRPr="00FD115E">
          <w:rPr>
            <w:rStyle w:val="Hyperlink"/>
            <w:b/>
            <w:color w:val="auto"/>
            <w:spacing w:val="-3"/>
            <w:u w:val="none"/>
          </w:rPr>
          <w:t>.</w:t>
        </w:r>
      </w:hyperlink>
      <w:r w:rsidR="005E03A3" w:rsidRPr="005E03A3">
        <w:rPr>
          <w:spacing w:val="-3"/>
        </w:rPr>
        <w:t xml:space="preserve">, and the resulting NMOC emission rate is less than 34 </w:t>
      </w:r>
      <w:r w:rsidR="00371C74">
        <w:rPr>
          <w:spacing w:val="-3"/>
        </w:rPr>
        <w:t>megagrams per year</w:t>
      </w:r>
      <w:r w:rsidR="005E03A3" w:rsidRPr="005E03A3">
        <w:rPr>
          <w:spacing w:val="-3"/>
        </w:rPr>
        <w:t xml:space="preserve">, annual periodic reporting must be resumed. </w:t>
      </w:r>
      <w:r w:rsidR="005E03A3">
        <w:rPr>
          <w:spacing w:val="-3"/>
        </w:rPr>
        <w:t xml:space="preserve"> </w:t>
      </w:r>
      <w:r w:rsidR="005E03A3" w:rsidRPr="005E03A3">
        <w:rPr>
          <w:spacing w:val="-3"/>
        </w:rPr>
        <w:t xml:space="preserve">The resulting site-specific methane generation rate constant k must be used in the emission rate calculation until such time as the emissions rate calculation results in an exceedance. </w:t>
      </w:r>
      <w:r w:rsidR="005E03A3">
        <w:rPr>
          <w:spacing w:val="-3"/>
        </w:rPr>
        <w:t xml:space="preserve"> </w:t>
      </w:r>
      <w:r w:rsidR="005E03A3" w:rsidRPr="005E03A3">
        <w:rPr>
          <w:spacing w:val="-3"/>
        </w:rPr>
        <w:t xml:space="preserve">The revised NMOC emission rate report based on the provisions of </w:t>
      </w:r>
      <w:hyperlink w:anchor="SCA11" w:tooltip=" " w:history="1">
        <w:r w:rsidR="00DD6C0C" w:rsidRPr="00FD115E">
          <w:rPr>
            <w:rStyle w:val="Hyperlink"/>
            <w:b/>
            <w:color w:val="auto"/>
            <w:spacing w:val="-3"/>
            <w:u w:val="none"/>
          </w:rPr>
          <w:t>Specific Condition A.11.</w:t>
        </w:r>
      </w:hyperlink>
      <w:r w:rsidR="005E03A3" w:rsidRPr="005E03A3">
        <w:rPr>
          <w:spacing w:val="-3"/>
        </w:rPr>
        <w:t xml:space="preserve"> and the resulting site-specific methane generation rate constant k must be submitted, following the procedure specified in </w:t>
      </w:r>
      <w:hyperlink w:anchor="SCA15a" w:tooltip=" " w:history="1">
        <w:r w:rsidR="005E03A3" w:rsidRPr="00FD115E">
          <w:rPr>
            <w:rStyle w:val="Hyperlink"/>
            <w:b/>
            <w:color w:val="auto"/>
            <w:spacing w:val="-3"/>
            <w:u w:val="none"/>
          </w:rPr>
          <w:t>Specific Condition A.1</w:t>
        </w:r>
        <w:r w:rsidR="00FD115E" w:rsidRPr="00FD115E">
          <w:rPr>
            <w:rStyle w:val="Hyperlink"/>
            <w:b/>
            <w:color w:val="auto"/>
            <w:spacing w:val="-3"/>
            <w:u w:val="none"/>
          </w:rPr>
          <w:t>5</w:t>
        </w:r>
        <w:r w:rsidR="009E10C2" w:rsidRPr="00FD115E">
          <w:rPr>
            <w:rStyle w:val="Hyperlink"/>
            <w:b/>
            <w:color w:val="auto"/>
            <w:spacing w:val="-3"/>
            <w:u w:val="none"/>
          </w:rPr>
          <w:t>.</w:t>
        </w:r>
        <w:r w:rsidR="005E03A3" w:rsidRPr="00FD115E">
          <w:rPr>
            <w:rStyle w:val="Hyperlink"/>
            <w:b/>
            <w:color w:val="auto"/>
            <w:spacing w:val="-3"/>
            <w:u w:val="none"/>
          </w:rPr>
          <w:t>a.</w:t>
        </w:r>
      </w:hyperlink>
      <w:r w:rsidR="005E03A3" w:rsidRPr="005E03A3">
        <w:rPr>
          <w:spacing w:val="-3"/>
        </w:rPr>
        <w:t xml:space="preserve"> of this section, to the Administrator within 1 year of the first calculated emission rate equaling or exceeding 34 megagrams per year.</w:t>
      </w:r>
      <w:r w:rsidR="005E03A3">
        <w:rPr>
          <w:spacing w:val="-3"/>
        </w:rPr>
        <w:t xml:space="preserve">  [40 CFR 60.767(b)(4)(ii)]</w:t>
      </w:r>
    </w:p>
    <w:p w14:paraId="7537E70E" w14:textId="4C56DA38" w:rsidR="005C6D9F" w:rsidRDefault="00016647" w:rsidP="00016647">
      <w:pPr>
        <w:pStyle w:val="ListParagraph"/>
        <w:numPr>
          <w:ilvl w:val="0"/>
          <w:numId w:val="2"/>
        </w:numPr>
        <w:tabs>
          <w:tab w:val="clear" w:pos="1296"/>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contextualSpacing w:val="0"/>
        <w:rPr>
          <w:spacing w:val="-3"/>
        </w:rPr>
      </w:pPr>
      <w:bookmarkStart w:id="45" w:name="SCA19"/>
      <w:bookmarkEnd w:id="45"/>
      <w:r>
        <w:rPr>
          <w:spacing w:val="-3"/>
          <w:u w:val="single"/>
        </w:rPr>
        <w:t>Tier 4 NMOC Analysis Reporting</w:t>
      </w:r>
      <w:r>
        <w:rPr>
          <w:spacing w:val="-3"/>
        </w:rPr>
        <w:t xml:space="preserve">.  </w:t>
      </w:r>
      <w:r w:rsidRPr="00016647">
        <w:rPr>
          <w:spacing w:val="-3"/>
        </w:rPr>
        <w:t xml:space="preserve">If the owner or operator elects to demonstrate that site-specific surface methane emissions are below 500 parts per million methane, based on the provisions of </w:t>
      </w:r>
      <w:hyperlink w:anchor="SCA12" w:tooltip=" " w:history="1">
        <w:r w:rsidRPr="00DD6C0C">
          <w:rPr>
            <w:rStyle w:val="Hyperlink"/>
            <w:b/>
            <w:color w:val="auto"/>
            <w:spacing w:val="-3"/>
            <w:u w:val="none"/>
          </w:rPr>
          <w:t>Specific Condition A.1</w:t>
        </w:r>
        <w:r w:rsidR="00DD6C0C" w:rsidRPr="00DD6C0C">
          <w:rPr>
            <w:rStyle w:val="Hyperlink"/>
            <w:b/>
            <w:color w:val="auto"/>
            <w:spacing w:val="-3"/>
            <w:u w:val="none"/>
          </w:rPr>
          <w:t>2</w:t>
        </w:r>
        <w:r w:rsidRPr="00DD6C0C">
          <w:rPr>
            <w:rStyle w:val="Hyperlink"/>
            <w:b/>
            <w:color w:val="auto"/>
            <w:spacing w:val="-3"/>
            <w:u w:val="none"/>
          </w:rPr>
          <w:t>.</w:t>
        </w:r>
      </w:hyperlink>
      <w:r w:rsidRPr="00016647">
        <w:rPr>
          <w:spacing w:val="-3"/>
        </w:rPr>
        <w:t xml:space="preserve">, then the owner or operator must submit annually a Tier 4 surface emissions report as specified in this paragraph following the procedure specified in </w:t>
      </w:r>
      <w:hyperlink w:anchor="SCA15a" w:tooltip=" " w:history="1">
        <w:r w:rsidR="00DD6C0C" w:rsidRPr="00FD115E">
          <w:rPr>
            <w:rStyle w:val="Hyperlink"/>
            <w:b/>
            <w:color w:val="auto"/>
            <w:spacing w:val="-3"/>
            <w:u w:val="none"/>
          </w:rPr>
          <w:t>Specific Condition A.15.a.</w:t>
        </w:r>
      </w:hyperlink>
      <w:r w:rsidRPr="00016647">
        <w:rPr>
          <w:spacing w:val="-3"/>
        </w:rPr>
        <w:t xml:space="preserve"> of this section until a surface emissions readings of 500 parts per million methane or greater is found. </w:t>
      </w:r>
      <w:r>
        <w:rPr>
          <w:spacing w:val="-3"/>
        </w:rPr>
        <w:t xml:space="preserve"> </w:t>
      </w:r>
      <w:r w:rsidRPr="00016647">
        <w:rPr>
          <w:spacing w:val="-3"/>
        </w:rPr>
        <w:t>If the Tier 4 surface emissions report shows no surface emissions readings of 500 parts per million methane or greater for four consecutive quarters at a closed landfill, then the landfill owner or operator may reduce Tier 4 monitoring from a quarterly to an annual frequency.</w:t>
      </w:r>
      <w:r>
        <w:rPr>
          <w:spacing w:val="-3"/>
        </w:rPr>
        <w:t xml:space="preserve"> </w:t>
      </w:r>
      <w:r w:rsidRPr="00016647">
        <w:rPr>
          <w:spacing w:val="-3"/>
        </w:rPr>
        <w:t xml:space="preserve"> The Administrator may request such additional information as may be necessary to verify the reported instantaneous surface emission readings. </w:t>
      </w:r>
      <w:r>
        <w:rPr>
          <w:spacing w:val="-3"/>
        </w:rPr>
        <w:t xml:space="preserve"> </w:t>
      </w:r>
      <w:r w:rsidRPr="00016647">
        <w:rPr>
          <w:spacing w:val="-3"/>
        </w:rPr>
        <w:t xml:space="preserve">The Tier 4 surface emissions report must clearly identify the location, date and time (to nearest second), average wind speeds including wind gusts, and reading (in parts per million) of any value 500 parts per million methane or greater, other than non-repeatable, momentary readings. </w:t>
      </w:r>
      <w:r>
        <w:rPr>
          <w:spacing w:val="-3"/>
        </w:rPr>
        <w:t xml:space="preserve"> </w:t>
      </w:r>
      <w:r w:rsidRPr="00016647">
        <w:rPr>
          <w:spacing w:val="-3"/>
        </w:rPr>
        <w:t xml:space="preserve">For location, you must determine the latitude and longitude coordinates using an instrument with an accuracy of at least 4 meters. </w:t>
      </w:r>
      <w:r>
        <w:rPr>
          <w:spacing w:val="-3"/>
        </w:rPr>
        <w:t xml:space="preserve"> </w:t>
      </w:r>
      <w:r w:rsidRPr="00016647">
        <w:rPr>
          <w:spacing w:val="-3"/>
        </w:rPr>
        <w:t xml:space="preserve">The coordinates must be in decimal degrees with at least five decimal places. </w:t>
      </w:r>
      <w:r>
        <w:rPr>
          <w:spacing w:val="-3"/>
        </w:rPr>
        <w:t xml:space="preserve"> </w:t>
      </w:r>
      <w:r w:rsidRPr="00016647">
        <w:rPr>
          <w:spacing w:val="-3"/>
        </w:rPr>
        <w:t xml:space="preserve">The Tier 4 surface emission report must also include the results of the most recent Tier 1 and Tier 2 results in order to verify that the landfill does not exceed 50 </w:t>
      </w:r>
      <w:r>
        <w:rPr>
          <w:spacing w:val="-3"/>
        </w:rPr>
        <w:t>megagrams per year</w:t>
      </w:r>
      <w:r w:rsidRPr="00016647">
        <w:rPr>
          <w:spacing w:val="-3"/>
        </w:rPr>
        <w:t xml:space="preserve"> of NMOC.</w:t>
      </w:r>
    </w:p>
    <w:p w14:paraId="425F7E8E" w14:textId="03C7E4C0" w:rsidR="00016647" w:rsidRDefault="006521DB" w:rsidP="006521DB">
      <w:pPr>
        <w:pStyle w:val="ListParagraph"/>
        <w:numPr>
          <w:ilvl w:val="0"/>
          <w:numId w:val="28"/>
        </w:numPr>
        <w:tabs>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r w:rsidRPr="006521DB">
        <w:rPr>
          <w:spacing w:val="-3"/>
        </w:rPr>
        <w:t>The initial Tier 4 surface emissions report must be submitted annually, starting within 30 days of completing the fourth quarter of Tier 4 surface emissions monitoring that demonstrates that site-specific surface methane emissions are below 500 parts per million methane, and following the p</w:t>
      </w:r>
      <w:r>
        <w:rPr>
          <w:spacing w:val="-3"/>
        </w:rPr>
        <w:t xml:space="preserve">rocedure specified in </w:t>
      </w:r>
      <w:hyperlink w:anchor="SCA15a" w:tooltip=" " w:history="1">
        <w:r w:rsidR="00DD6C0C" w:rsidRPr="00FD115E">
          <w:rPr>
            <w:rStyle w:val="Hyperlink"/>
            <w:b/>
            <w:color w:val="auto"/>
            <w:spacing w:val="-3"/>
            <w:u w:val="none"/>
          </w:rPr>
          <w:t>Specific Condition A.15.a.</w:t>
        </w:r>
      </w:hyperlink>
    </w:p>
    <w:p w14:paraId="4707693F" w14:textId="2B1D5CD6" w:rsidR="006521DB" w:rsidRDefault="006521DB" w:rsidP="006521DB">
      <w:pPr>
        <w:pStyle w:val="ListParagraph"/>
        <w:numPr>
          <w:ilvl w:val="0"/>
          <w:numId w:val="28"/>
        </w:numPr>
        <w:tabs>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rPr>
          <w:spacing w:val="-3"/>
        </w:rPr>
      </w:pPr>
      <w:r w:rsidRPr="006521DB">
        <w:rPr>
          <w:spacing w:val="-3"/>
        </w:rPr>
        <w:t xml:space="preserve">The Tier 4 surface emissions report must be submitted within 1 year of the first measured surface exceedance of 500 parts per million methane, following the procedure specified in paragraph </w:t>
      </w:r>
      <w:hyperlink w:anchor="SCA15a" w:tooltip=" " w:history="1">
        <w:r w:rsidR="00DD6C0C" w:rsidRPr="00FD115E">
          <w:rPr>
            <w:rStyle w:val="Hyperlink"/>
            <w:b/>
            <w:color w:val="auto"/>
            <w:spacing w:val="-3"/>
            <w:u w:val="none"/>
          </w:rPr>
          <w:t>Specific Condition A.15.a.</w:t>
        </w:r>
      </w:hyperlink>
    </w:p>
    <w:p w14:paraId="2E20ECEF" w14:textId="6C3D13C4" w:rsidR="006521DB" w:rsidRDefault="006521DB" w:rsidP="006521DB">
      <w:pPr>
        <w:pStyle w:val="ListParagraph"/>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rPr>
          <w:spacing w:val="-3"/>
        </w:rPr>
      </w:pPr>
      <w:r w:rsidRPr="00B60AF8">
        <w:rPr>
          <w:spacing w:val="-3"/>
        </w:rPr>
        <w:t>[40 CFR</w:t>
      </w:r>
      <w:r>
        <w:rPr>
          <w:spacing w:val="-3"/>
        </w:rPr>
        <w:t xml:space="preserve"> 60.767(b)(4)(iii)]</w:t>
      </w:r>
    </w:p>
    <w:p w14:paraId="7E2C3984" w14:textId="48579342" w:rsidR="00FB0A20" w:rsidRDefault="00FB0A20" w:rsidP="0060369A">
      <w:pPr>
        <w:pStyle w:val="ListParagraph"/>
        <w:numPr>
          <w:ilvl w:val="0"/>
          <w:numId w:val="2"/>
        </w:numPr>
        <w:tabs>
          <w:tab w:val="left" w:pos="-45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contextualSpacing w:val="0"/>
        <w:rPr>
          <w:spacing w:val="-3"/>
        </w:rPr>
      </w:pPr>
      <w:r>
        <w:rPr>
          <w:spacing w:val="-3"/>
          <w:u w:val="single"/>
        </w:rPr>
        <w:t>Asbestos Records and Reports</w:t>
      </w:r>
      <w:r>
        <w:rPr>
          <w:spacing w:val="-3"/>
        </w:rPr>
        <w:t xml:space="preserve">.  The permittee shall maintain records and reports in accordance with 40 CFR 61.154(e) and for a period of at least five years (see </w:t>
      </w:r>
      <w:hyperlink w:anchor="SCA3e" w:tooltip=" " w:history="1">
        <w:r w:rsidRPr="00EA1B8E">
          <w:rPr>
            <w:rStyle w:val="Hyperlink"/>
            <w:b/>
            <w:color w:val="auto"/>
            <w:spacing w:val="-3"/>
            <w:u w:val="none"/>
          </w:rPr>
          <w:t>Specific Condition A.3.e</w:t>
        </w:r>
      </w:hyperlink>
      <w:r>
        <w:rPr>
          <w:spacing w:val="-3"/>
        </w:rPr>
        <w:t>).  [40 CFR 61.154(e)]</w:t>
      </w:r>
    </w:p>
    <w:p w14:paraId="03EC7920" w14:textId="1D2B97A6" w:rsidR="0060369A" w:rsidRPr="00FB0A20" w:rsidRDefault="0060369A" w:rsidP="0060369A">
      <w:pPr>
        <w:pStyle w:val="ListParagraph"/>
        <w:numPr>
          <w:ilvl w:val="0"/>
          <w:numId w:val="2"/>
        </w:numPr>
        <w:tabs>
          <w:tab w:val="left" w:pos="-45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contextualSpacing w:val="0"/>
        <w:rPr>
          <w:spacing w:val="-3"/>
        </w:rPr>
      </w:pPr>
      <w:r>
        <w:rPr>
          <w:spacing w:val="-3"/>
          <w:u w:val="single"/>
        </w:rPr>
        <w:lastRenderedPageBreak/>
        <w:t>Asbestos Location Records</w:t>
      </w:r>
      <w:r>
        <w:rPr>
          <w:spacing w:val="-3"/>
        </w:rPr>
        <w:t xml:space="preserve">.  The permittee shall maintain, until closure, location records of the asbestos containing waste subject to 40 CFR 61.154 in accordance with 40 CFR 61.154(f) (see </w:t>
      </w:r>
      <w:hyperlink w:anchor="SCA3f" w:tooltip=" " w:history="1">
        <w:r w:rsidRPr="00EA1B8E">
          <w:rPr>
            <w:rStyle w:val="Hyperlink"/>
            <w:b/>
            <w:color w:val="auto"/>
            <w:spacing w:val="-3"/>
            <w:u w:val="none"/>
          </w:rPr>
          <w:t>Specific Condition A.3.f.</w:t>
        </w:r>
      </w:hyperlink>
      <w:r>
        <w:rPr>
          <w:spacing w:val="-3"/>
        </w:rPr>
        <w:t>).  [40 CFR 61.154(f)]</w:t>
      </w:r>
    </w:p>
    <w:p w14:paraId="195D6EE5" w14:textId="1D7E9225" w:rsidR="00371C74" w:rsidRDefault="00FB0A20" w:rsidP="007E691B">
      <w:pPr>
        <w:pStyle w:val="ListParagraph"/>
        <w:numPr>
          <w:ilvl w:val="0"/>
          <w:numId w:val="2"/>
        </w:numPr>
        <w:tabs>
          <w:tab w:val="clear" w:pos="1296"/>
          <w:tab w:val="left" w:pos="-720"/>
          <w:tab w:val="num"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contextualSpacing w:val="0"/>
        <w:rPr>
          <w:spacing w:val="-3"/>
        </w:rPr>
      </w:pPr>
      <w:r>
        <w:rPr>
          <w:spacing w:val="-3"/>
          <w:u w:val="single"/>
        </w:rPr>
        <w:t>Records Retention</w:t>
      </w:r>
      <w:r w:rsidR="00150E7B">
        <w:rPr>
          <w:spacing w:val="-3"/>
        </w:rPr>
        <w:t xml:space="preserve">.  Except as provided in </w:t>
      </w:r>
      <w:r w:rsidR="002B377A">
        <w:rPr>
          <w:spacing w:val="-3"/>
        </w:rPr>
        <w:t>40 CFR 60.767(c)(2)</w:t>
      </w:r>
      <w:r w:rsidR="00150E7B">
        <w:rPr>
          <w:spacing w:val="-3"/>
        </w:rPr>
        <w:t xml:space="preserve">, each owner or operator of an MSW landfill subject to the provisions of </w:t>
      </w:r>
      <w:hyperlink w:anchor="SCA4" w:tooltip=" " w:history="1">
        <w:r w:rsidR="007E691B" w:rsidRPr="00396E27">
          <w:rPr>
            <w:rStyle w:val="Hyperlink"/>
            <w:b/>
            <w:color w:val="auto"/>
            <w:spacing w:val="-3"/>
            <w:u w:val="none"/>
          </w:rPr>
          <w:t>Specific Condition A.4</w:t>
        </w:r>
        <w:r w:rsidR="009E10C2" w:rsidRPr="00396E27">
          <w:rPr>
            <w:rStyle w:val="Hyperlink"/>
            <w:b/>
            <w:color w:val="auto"/>
            <w:spacing w:val="-3"/>
            <w:u w:val="none"/>
          </w:rPr>
          <w:t>.</w:t>
        </w:r>
      </w:hyperlink>
      <w:r w:rsidR="00150E7B">
        <w:rPr>
          <w:spacing w:val="-3"/>
        </w:rPr>
        <w:t xml:space="preserve"> must keep for at least 5 years up-to-date, readily accessible, on-site records of the design capacity report that triggered</w:t>
      </w:r>
      <w:r w:rsidR="007E691B">
        <w:rPr>
          <w:spacing w:val="-3"/>
        </w:rPr>
        <w:t xml:space="preserve"> 40 CFR</w:t>
      </w:r>
      <w:r w:rsidR="00150E7B">
        <w:rPr>
          <w:spacing w:val="-3"/>
        </w:rPr>
        <w:t xml:space="preserve"> 60.762(b), the current amount of solid waste in-place, and the year-by-year waste acceptance rate.  Off-site records may be maintained if they are retrievable within 4 hours.  Either paper copy or electronic formats are acceptable.  </w:t>
      </w:r>
      <w:r w:rsidR="007E691B">
        <w:rPr>
          <w:spacing w:val="-3"/>
        </w:rPr>
        <w:t>[40 CFR 60.768(a)]</w:t>
      </w:r>
    </w:p>
    <w:p w14:paraId="33402FF7" w14:textId="2D30F39B" w:rsidR="00312384" w:rsidRPr="006521DB" w:rsidRDefault="007E691B" w:rsidP="00BB13AE">
      <w:pPr>
        <w:pStyle w:val="ListParagraph"/>
        <w:numPr>
          <w:ilvl w:val="0"/>
          <w:numId w:val="2"/>
        </w:numPr>
        <w:tabs>
          <w:tab w:val="clear" w:pos="1296"/>
          <w:tab w:val="left" w:pos="-720"/>
          <w:tab w:val="num"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contextualSpacing w:val="0"/>
        <w:rPr>
          <w:spacing w:val="-3"/>
        </w:rPr>
      </w:pPr>
      <w:r>
        <w:rPr>
          <w:spacing w:val="-3"/>
          <w:u w:val="single"/>
        </w:rPr>
        <w:t>Closure Report</w:t>
      </w:r>
      <w:r>
        <w:rPr>
          <w:spacing w:val="-3"/>
        </w:rPr>
        <w:t xml:space="preserve">.  </w:t>
      </w:r>
      <w:r w:rsidR="00BB13AE">
        <w:rPr>
          <w:spacing w:val="-3"/>
        </w:rPr>
        <w:t xml:space="preserve">Each owner or operator of a controlled landfill must submit a closure report to the Administrator within 30 days of waste acceptance cessation.  The Administrator may request additional information as may be necessary to verify that permanent closure has taken place in accordance with the requirements of 40 CFR 258.60.  </w:t>
      </w:r>
      <w:r w:rsidR="00312384">
        <w:rPr>
          <w:spacing w:val="-3"/>
        </w:rPr>
        <w:t>If a closure report has been submitted to the Administrator, no additional wastes may be placed into the landfill without filing a notification of modification as described under 40 CFR 60.7(a)(4).  [40 CFR 60.767(e)]</w:t>
      </w:r>
      <w:r w:rsidR="00312384" w:rsidRPr="006521DB">
        <w:rPr>
          <w:spacing w:val="-3"/>
        </w:rPr>
        <w:t xml:space="preserve"> </w:t>
      </w:r>
    </w:p>
    <w:p w14:paraId="3AFD606F" w14:textId="57C19AC4" w:rsidR="00004B5C" w:rsidRPr="007F53F5" w:rsidRDefault="007155AF" w:rsidP="007F53F5">
      <w:pPr>
        <w:pStyle w:val="ListParagraph"/>
        <w:numPr>
          <w:ilvl w:val="0"/>
          <w:numId w:val="2"/>
        </w:numPr>
        <w:tabs>
          <w:tab w:val="clear" w:pos="1296"/>
          <w:tab w:val="left" w:pos="-72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7F53F5">
        <w:rPr>
          <w:u w:val="single"/>
        </w:rPr>
        <w:t>Other Reporting Requirements</w:t>
      </w:r>
      <w:r>
        <w:t xml:space="preserve">.  </w:t>
      </w:r>
      <w:r w:rsidRPr="008E6BC8">
        <w:t xml:space="preserve">See </w:t>
      </w:r>
      <w:r w:rsidRPr="007F53F5">
        <w:rPr>
          <w:bCs/>
        </w:rPr>
        <w:t>Appendix RR, Facility-Wide Reporting Requirements</w:t>
      </w:r>
      <w:r w:rsidRPr="008E6BC8">
        <w:t>, for additional reporting requirements.</w:t>
      </w:r>
      <w:r w:rsidR="00FF25AE">
        <w:t xml:space="preserve">  [Rule 62-213.440</w:t>
      </w:r>
      <w:r w:rsidR="006B7012">
        <w:t>(1)(b)</w:t>
      </w:r>
      <w:r w:rsidR="00FF25AE">
        <w:t>, F.A.C.]</w:t>
      </w:r>
    </w:p>
    <w:p w14:paraId="1B7FDDE6" w14:textId="77777777" w:rsidR="00623543" w:rsidRPr="00623543" w:rsidRDefault="00623543" w:rsidP="00623543"/>
    <w:p w14:paraId="5D5C5A5A" w14:textId="77777777" w:rsidR="00623543" w:rsidRPr="00623543" w:rsidRDefault="00623543" w:rsidP="00623543"/>
    <w:p w14:paraId="7F68360F" w14:textId="1E4E9775" w:rsidR="00623543" w:rsidRPr="00623543" w:rsidRDefault="00221AA1" w:rsidP="00623543">
      <w:hyperlink w:anchor="TableofContents" w:history="1">
        <w:r w:rsidR="00114B42" w:rsidRPr="00114B42">
          <w:rPr>
            <w:rStyle w:val="Hyperlink"/>
          </w:rPr>
          <w:t>Table of Contents</w:t>
        </w:r>
      </w:hyperlink>
    </w:p>
    <w:sectPr w:rsidR="00623543" w:rsidRPr="00623543" w:rsidSect="005F79CF">
      <w:headerReference w:type="even" r:id="rId40"/>
      <w:headerReference w:type="default" r:id="rId41"/>
      <w:headerReference w:type="first" r:id="rId42"/>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786DE" w14:textId="77777777" w:rsidR="00114B42" w:rsidRDefault="00114B42">
      <w:r>
        <w:separator/>
      </w:r>
    </w:p>
  </w:endnote>
  <w:endnote w:type="continuationSeparator" w:id="0">
    <w:p w14:paraId="327E66C1" w14:textId="77777777" w:rsidR="00114B42" w:rsidRDefault="00114B42">
      <w:r>
        <w:continuationSeparator/>
      </w:r>
    </w:p>
  </w:endnote>
  <w:endnote w:type="continuationNotice" w:id="1">
    <w:p w14:paraId="126E8FA9" w14:textId="77777777" w:rsidR="00114B42" w:rsidRDefault="00114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4C50B" w14:textId="77777777" w:rsidR="00114B42" w:rsidRDefault="00114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5418133B" w14:textId="77777777" w:rsidR="00114B42" w:rsidRDefault="00114B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F6F58" w14:textId="77777777" w:rsidR="00143B34" w:rsidRDefault="00143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87488" w14:textId="77777777" w:rsidR="00143B34" w:rsidRDefault="00143B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9217" w14:textId="27C7BAF7" w:rsidR="00114B42" w:rsidRDefault="00114B4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221AA1">
      <w:rPr>
        <w:rStyle w:val="PageNumber"/>
        <w:noProof/>
      </w:rPr>
      <w:t>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874F6" w14:textId="77777777" w:rsidR="00114B42" w:rsidRDefault="00114B42">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0C876" w14:textId="77777777" w:rsidR="00114B42" w:rsidRPr="00181EB3" w:rsidRDefault="00221AA1" w:rsidP="00A977D5">
    <w:pPr>
      <w:pStyle w:val="Footer"/>
      <w:jc w:val="center"/>
      <w:rPr>
        <w:szCs w:val="22"/>
      </w:rPr>
    </w:pPr>
    <w:hyperlink r:id="rId1" w:history="1">
      <w:r w:rsidR="00114B42" w:rsidRPr="00181EB3">
        <w:rPr>
          <w:rStyle w:val="Hyperlink"/>
          <w:i/>
          <w:color w:val="7F7F7F" w:themeColor="text1" w:themeTint="80"/>
          <w:szCs w:val="22"/>
          <w:u w:val="none"/>
        </w:rPr>
        <w:t>www.dep.state.fl.us</w:t>
      </w:r>
    </w:hyperlink>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783DB" w14:textId="0AC98AD6" w:rsidR="00114B42" w:rsidRPr="006144AF" w:rsidRDefault="00114B42" w:rsidP="000A0A5C">
    <w:pPr>
      <w:pStyle w:val="Footer"/>
      <w:pBdr>
        <w:top w:val="single" w:sz="6" w:space="1" w:color="auto"/>
      </w:pBdr>
      <w:tabs>
        <w:tab w:val="clear" w:pos="4320"/>
        <w:tab w:val="clear" w:pos="8640"/>
        <w:tab w:val="right" w:pos="10080"/>
      </w:tabs>
      <w:spacing w:before="240"/>
      <w:rPr>
        <w:szCs w:val="22"/>
      </w:rPr>
    </w:pPr>
    <w:r>
      <w:rPr>
        <w:szCs w:val="22"/>
      </w:rPr>
      <w:t>Bay County Utility Services</w:t>
    </w:r>
    <w:r w:rsidRPr="006144AF">
      <w:rPr>
        <w:szCs w:val="22"/>
      </w:rPr>
      <w:tab/>
      <w:t xml:space="preserve">Permit No. </w:t>
    </w:r>
    <w:r>
      <w:rPr>
        <w:szCs w:val="22"/>
      </w:rPr>
      <w:t>0050090-003</w:t>
    </w:r>
    <w:r w:rsidRPr="006144AF">
      <w:rPr>
        <w:szCs w:val="22"/>
      </w:rPr>
      <w:t>-AV</w:t>
    </w:r>
  </w:p>
  <w:p w14:paraId="53FA2DD4" w14:textId="77777777" w:rsidR="00114B42" w:rsidRPr="006144AF" w:rsidRDefault="00114B42" w:rsidP="000A0A5C">
    <w:pPr>
      <w:pStyle w:val="Footer"/>
      <w:tabs>
        <w:tab w:val="clear" w:pos="4320"/>
        <w:tab w:val="clear" w:pos="8640"/>
        <w:tab w:val="right" w:pos="10080"/>
      </w:tabs>
      <w:rPr>
        <w:szCs w:val="22"/>
      </w:rPr>
    </w:pPr>
    <w:r>
      <w:rPr>
        <w:szCs w:val="22"/>
      </w:rPr>
      <w:t>Steelfield Road Landfill</w:t>
    </w:r>
    <w:r w:rsidRPr="006144AF">
      <w:rPr>
        <w:szCs w:val="22"/>
      </w:rPr>
      <w:tab/>
      <w:t>Title V Air Operation Permit Renewal</w:t>
    </w:r>
  </w:p>
  <w:p w14:paraId="3FBD083A" w14:textId="776FE835" w:rsidR="00114B42" w:rsidRPr="006144AF" w:rsidRDefault="00114B42" w:rsidP="000A0A5C">
    <w:pPr>
      <w:pStyle w:val="Footer"/>
      <w:tabs>
        <w:tab w:val="clear" w:pos="4320"/>
        <w:tab w:val="clear" w:pos="8640"/>
      </w:tabs>
      <w:jc w:val="center"/>
      <w:rPr>
        <w:szCs w:val="22"/>
      </w:rPr>
    </w:pPr>
    <w:r w:rsidRPr="006144AF">
      <w:rPr>
        <w:szCs w:val="22"/>
      </w:rPr>
      <w:t xml:space="preserve">Page </w:t>
    </w:r>
    <w:r w:rsidRPr="006144AF">
      <w:rPr>
        <w:rStyle w:val="PageNumber"/>
        <w:szCs w:val="22"/>
      </w:rPr>
      <w:fldChar w:fldCharType="begin"/>
    </w:r>
    <w:r w:rsidRPr="006144AF">
      <w:rPr>
        <w:rStyle w:val="PageNumber"/>
        <w:szCs w:val="22"/>
      </w:rPr>
      <w:instrText xml:space="preserve"> PAGE </w:instrText>
    </w:r>
    <w:r w:rsidRPr="006144AF">
      <w:rPr>
        <w:rStyle w:val="PageNumber"/>
        <w:szCs w:val="22"/>
      </w:rPr>
      <w:fldChar w:fldCharType="separate"/>
    </w:r>
    <w:r w:rsidR="00221AA1">
      <w:rPr>
        <w:rStyle w:val="PageNumber"/>
        <w:noProof/>
        <w:szCs w:val="22"/>
      </w:rPr>
      <w:t>18</w:t>
    </w:r>
    <w:r w:rsidRPr="006144AF">
      <w:rPr>
        <w:rStyle w:val="PageNumber"/>
        <w:szCs w:val="22"/>
      </w:rPr>
      <w:fldChar w:fldCharType="end"/>
    </w:r>
    <w:r w:rsidRPr="006144AF">
      <w:rPr>
        <w:rStyle w:val="PageNumber"/>
        <w:szCs w:val="22"/>
      </w:rPr>
      <w:t xml:space="preserve"> of </w:t>
    </w:r>
    <w:r>
      <w:rPr>
        <w:rStyle w:val="PageNumber"/>
        <w:szCs w:val="22"/>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79E75" w14:textId="77777777" w:rsidR="00114B42" w:rsidRDefault="00114B42">
      <w:r>
        <w:separator/>
      </w:r>
    </w:p>
  </w:footnote>
  <w:footnote w:type="continuationSeparator" w:id="0">
    <w:p w14:paraId="68C0E9F4" w14:textId="77777777" w:rsidR="00114B42" w:rsidRDefault="00114B42">
      <w:r>
        <w:continuationSeparator/>
      </w:r>
    </w:p>
  </w:footnote>
  <w:footnote w:type="continuationNotice" w:id="1">
    <w:p w14:paraId="7344399D" w14:textId="77777777" w:rsidR="00114B42" w:rsidRDefault="00114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4F76" w14:textId="3804F825" w:rsidR="00114B42" w:rsidRDefault="00221AA1">
    <w:pPr>
      <w:pStyle w:val="Header"/>
    </w:pPr>
    <w:r>
      <w:rPr>
        <w:noProof/>
      </w:rPr>
      <w:pict w14:anchorId="362EAF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85" o:spid="_x0000_s20482" type="#_x0000_t136" style="position:absolute;margin-left:0;margin-top:0;width:509.4pt;height:191pt;rotation:315;z-index:-251655168;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7E56" w14:textId="74D40CD0" w:rsidR="00114B42" w:rsidRDefault="00221AA1">
    <w:pPr>
      <w:pStyle w:val="Header"/>
    </w:pPr>
    <w:r>
      <w:rPr>
        <w:noProof/>
      </w:rPr>
      <w:pict w14:anchorId="38DC41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4" o:spid="_x0000_s20491" type="#_x0000_t136" style="position:absolute;margin-left:0;margin-top:0;width:509.4pt;height:191pt;rotation:315;z-index:-251636736;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5A0A7" w14:textId="7255E7E9" w:rsidR="00114B42" w:rsidRPr="00A94602" w:rsidRDefault="00221AA1" w:rsidP="004531FB">
    <w:pPr>
      <w:pStyle w:val="Header"/>
      <w:pBdr>
        <w:bottom w:val="single" w:sz="4" w:space="1" w:color="auto"/>
      </w:pBdr>
      <w:tabs>
        <w:tab w:val="clear" w:pos="8640"/>
      </w:tabs>
      <w:spacing w:after="240"/>
      <w:jc w:val="center"/>
      <w:rPr>
        <w:b/>
        <w:caps/>
        <w:sz w:val="20"/>
      </w:rPr>
    </w:pPr>
    <w:r>
      <w:rPr>
        <w:noProof/>
      </w:rPr>
      <w:pict w14:anchorId="234D94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5" o:spid="_x0000_s20492" type="#_x0000_t136" style="position:absolute;left:0;text-align:left;margin-left:0;margin-top:0;width:509.4pt;height:191pt;rotation:315;z-index:-251634688;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r w:rsidR="00114B42" w:rsidRPr="00BC4CC4">
      <w:rPr>
        <w:b/>
        <w:caps/>
        <w:szCs w:val="22"/>
      </w:rPr>
      <w:t>Section I.  Facility Information.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25E5B" w14:textId="50F37722" w:rsidR="00114B42" w:rsidRDefault="00221AA1">
    <w:pPr>
      <w:pStyle w:val="Header"/>
    </w:pPr>
    <w:r>
      <w:rPr>
        <w:noProof/>
      </w:rPr>
      <w:pict w14:anchorId="1982FB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3" o:spid="_x0000_s20490" type="#_x0000_t136" style="position:absolute;margin-left:0;margin-top:0;width:509.4pt;height:191pt;rotation:315;z-index:-251638784;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D46E4" w14:textId="6EBFCA14" w:rsidR="00114B42" w:rsidRDefault="00221AA1">
    <w:pPr>
      <w:pStyle w:val="Header"/>
    </w:pPr>
    <w:r>
      <w:rPr>
        <w:noProof/>
      </w:rPr>
      <w:pict w14:anchorId="6D5B9D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7" o:spid="_x0000_s20494" type="#_x0000_t136" style="position:absolute;margin-left:0;margin-top:0;width:509.4pt;height:191pt;rotation:315;z-index:-251630592;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CC800" w14:textId="4BBB8D05" w:rsidR="00114B42" w:rsidRPr="00A94602" w:rsidRDefault="00221AA1" w:rsidP="004531FB">
    <w:pPr>
      <w:pStyle w:val="Header"/>
      <w:pBdr>
        <w:bottom w:val="single" w:sz="4" w:space="1" w:color="auto"/>
      </w:pBdr>
      <w:tabs>
        <w:tab w:val="clear" w:pos="8640"/>
      </w:tabs>
      <w:spacing w:after="240"/>
      <w:jc w:val="center"/>
      <w:rPr>
        <w:b/>
        <w:caps/>
        <w:sz w:val="20"/>
      </w:rPr>
    </w:pPr>
    <w:r>
      <w:rPr>
        <w:noProof/>
      </w:rPr>
      <w:pict w14:anchorId="5E1E4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8" o:spid="_x0000_s20495" type="#_x0000_t136" style="position:absolute;left:0;text-align:left;margin-left:0;margin-top:0;width:509.4pt;height:191pt;rotation:315;z-index:-251628544;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r w:rsidR="00114B42">
      <w:rPr>
        <w:b/>
        <w:caps/>
        <w:szCs w:val="22"/>
      </w:rPr>
      <w:t>S</w:t>
    </w:r>
    <w:r w:rsidR="00114B42" w:rsidRPr="00D059D9">
      <w:rPr>
        <w:b/>
        <w:caps/>
        <w:szCs w:val="22"/>
      </w:rPr>
      <w:t xml:space="preserve">ection II.  </w:t>
    </w:r>
    <w:r w:rsidR="00114B42">
      <w:rPr>
        <w:b/>
        <w:caps/>
        <w:szCs w:val="22"/>
      </w:rPr>
      <w:t xml:space="preserve">Facility-wide </w:t>
    </w:r>
    <w:r w:rsidR="00114B42" w:rsidRPr="00D059D9">
      <w:rPr>
        <w:b/>
        <w:caps/>
        <w:szCs w:val="22"/>
      </w:rPr>
      <w:t>Conditions.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CD69F" w14:textId="0827DB48" w:rsidR="00114B42" w:rsidRDefault="00221AA1">
    <w:pPr>
      <w:pStyle w:val="Header"/>
    </w:pPr>
    <w:r>
      <w:rPr>
        <w:noProof/>
      </w:rPr>
      <w:pict w14:anchorId="461E01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6" o:spid="_x0000_s20493" type="#_x0000_t136" style="position:absolute;margin-left:0;margin-top:0;width:509.4pt;height:191pt;rotation:315;z-index:-251632640;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7337" w14:textId="64684D87" w:rsidR="00114B42" w:rsidRDefault="00221AA1">
    <w:pPr>
      <w:pStyle w:val="Header"/>
    </w:pPr>
    <w:r>
      <w:rPr>
        <w:noProof/>
      </w:rPr>
      <w:pict w14:anchorId="79F5C3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300" o:spid="_x0000_s20500" type="#_x0000_t136" style="position:absolute;margin-left:0;margin-top:0;width:509.4pt;height:191pt;rotation:315;z-index:-251618304;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C2419" w14:textId="030E5391" w:rsidR="00114B42" w:rsidRDefault="00221AA1" w:rsidP="00D91F6D">
    <w:pPr>
      <w:pStyle w:val="Header"/>
      <w:pBdr>
        <w:bottom w:val="single" w:sz="4" w:space="1" w:color="auto"/>
      </w:pBdr>
      <w:tabs>
        <w:tab w:val="clear" w:pos="8640"/>
      </w:tabs>
      <w:jc w:val="center"/>
      <w:rPr>
        <w:b/>
        <w:caps/>
        <w:szCs w:val="22"/>
      </w:rPr>
    </w:pPr>
    <w:r>
      <w:rPr>
        <w:noProof/>
      </w:rPr>
      <w:pict w14:anchorId="69D514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301" o:spid="_x0000_s20501" type="#_x0000_t136" style="position:absolute;left:0;text-align:left;margin-left:0;margin-top:0;width:509.4pt;height:191pt;rotation:315;z-index:-251616256;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r w:rsidR="00114B42">
      <w:rPr>
        <w:b/>
        <w:caps/>
        <w:szCs w:val="22"/>
      </w:rPr>
      <w:t>section iii.  emissions units and conditions</w:t>
    </w:r>
  </w:p>
  <w:p w14:paraId="7DD1BE14" w14:textId="340EC85E" w:rsidR="00114B42" w:rsidRPr="006D1595" w:rsidRDefault="00114B42" w:rsidP="00D91F6D">
    <w:pPr>
      <w:pStyle w:val="Header"/>
      <w:tabs>
        <w:tab w:val="clear" w:pos="8640"/>
      </w:tabs>
      <w:spacing w:after="240"/>
      <w:jc w:val="center"/>
      <w:rPr>
        <w:b/>
        <w:caps/>
        <w:szCs w:val="22"/>
      </w:rPr>
    </w:pPr>
    <w:r>
      <w:rPr>
        <w:b/>
        <w:szCs w:val="22"/>
      </w:rPr>
      <w:t>Subsection A.  Emissions Unit 001, Municipal Solid Waste Landfill</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D3EDE" w14:textId="31C70894" w:rsidR="00114B42" w:rsidRDefault="00221AA1">
    <w:pPr>
      <w:pStyle w:val="Header"/>
    </w:pPr>
    <w:r>
      <w:rPr>
        <w:noProof/>
      </w:rPr>
      <w:pict w14:anchorId="4E691E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9" o:spid="_x0000_s20499" type="#_x0000_t136" style="position:absolute;margin-left:0;margin-top:0;width:509.4pt;height:191pt;rotation:315;z-index:-251620352;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885B1" w14:textId="716B8CA6" w:rsidR="00114B42" w:rsidRDefault="00221AA1">
    <w:pPr>
      <w:pStyle w:val="Header"/>
    </w:pPr>
    <w:r>
      <w:rPr>
        <w:noProof/>
      </w:rPr>
      <w:pict w14:anchorId="3F8BCE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86" o:spid="_x0000_s20483" type="#_x0000_t136" style="position:absolute;margin-left:0;margin-top:0;width:509.4pt;height:191pt;rotation:315;z-index:-251653120;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r w:rsidR="00114B42">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A970E" w14:textId="329CA691" w:rsidR="00114B42" w:rsidRDefault="00221AA1">
    <w:pPr>
      <w:pStyle w:val="Header"/>
    </w:pPr>
    <w:r>
      <w:rPr>
        <w:noProof/>
      </w:rPr>
      <w:pict w14:anchorId="2D6263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84" o:spid="_x0000_s20481" type="#_x0000_t136" style="position:absolute;margin-left:0;margin-top:0;width:509.4pt;height:191pt;rotation:315;z-index:-251657216;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A1398" w14:textId="51C190DD" w:rsidR="00114B42" w:rsidRDefault="00221AA1">
    <w:pPr>
      <w:pStyle w:val="Header"/>
    </w:pPr>
    <w:r>
      <w:rPr>
        <w:noProof/>
      </w:rPr>
      <w:pict w14:anchorId="161229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88" o:spid="_x0000_s20485" type="#_x0000_t136" style="position:absolute;margin-left:0;margin-top:0;width:509.4pt;height:191pt;rotation:315;z-index:-251649024;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B1337" w14:textId="570DB519" w:rsidR="00114B42" w:rsidRDefault="00221AA1" w:rsidP="000C1108">
    <w:pPr>
      <w:pStyle w:val="Header"/>
      <w:pBdr>
        <w:bottom w:val="single" w:sz="4" w:space="1" w:color="auto"/>
      </w:pBdr>
      <w:tabs>
        <w:tab w:val="clear" w:pos="4320"/>
        <w:tab w:val="clear" w:pos="8640"/>
        <w:tab w:val="right" w:pos="10080"/>
      </w:tabs>
    </w:pPr>
    <w:r>
      <w:rPr>
        <w:noProof/>
      </w:rPr>
      <w:pict w14:anchorId="181775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89" o:spid="_x0000_s20486" type="#_x0000_t136" style="position:absolute;margin-left:0;margin-top:0;width:509.4pt;height:191pt;rotation:315;z-index:-251646976;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r w:rsidR="00114B42">
      <w:t>Bay County Utility Services</w:t>
    </w:r>
    <w:r w:rsidR="00114B42" w:rsidRPr="00D2710D">
      <w:tab/>
    </w:r>
    <w:r w:rsidR="00114B42">
      <w:t>Steelfield Road Landfill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4A48A" w14:textId="3E4AB4C7" w:rsidR="00114B42" w:rsidRDefault="00221AA1">
    <w:pPr>
      <w:pStyle w:val="Header"/>
    </w:pPr>
    <w:r>
      <w:rPr>
        <w:noProof/>
      </w:rPr>
      <w:pict w14:anchorId="4C539A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87" o:spid="_x0000_s20484" type="#_x0000_t136" style="position:absolute;margin-left:0;margin-top:0;width:509.4pt;height:191pt;rotation:315;z-index:-251651072;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C89D" w14:textId="2105BED2" w:rsidR="00114B42" w:rsidRDefault="00221AA1">
    <w:pPr>
      <w:pStyle w:val="Header"/>
    </w:pPr>
    <w:r>
      <w:rPr>
        <w:noProof/>
      </w:rPr>
      <w:pict w14:anchorId="54677B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1" o:spid="_x0000_s20488" type="#_x0000_t136" style="position:absolute;margin-left:0;margin-top:0;width:509.4pt;height:191pt;rotation:315;z-index:-251642880;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14B42" w:rsidRPr="00114B42" w14:paraId="5A189B33" w14:textId="77777777" w:rsidTr="00114B42">
      <w:tc>
        <w:tcPr>
          <w:tcW w:w="2448" w:type="dxa"/>
        </w:tcPr>
        <w:p w14:paraId="3AC18137" w14:textId="77777777" w:rsidR="00114B42" w:rsidRPr="00114B42" w:rsidRDefault="00114B42" w:rsidP="00114B42">
          <w:pPr>
            <w:rPr>
              <w:sz w:val="24"/>
              <w:szCs w:val="24"/>
            </w:rPr>
          </w:pPr>
          <w:r w:rsidRPr="00114B42">
            <w:rPr>
              <w:noProof/>
              <w:sz w:val="24"/>
              <w:szCs w:val="24"/>
            </w:rPr>
            <w:drawing>
              <wp:inline distT="0" distB="0" distL="0" distR="0" wp14:anchorId="7D06D8FA" wp14:editId="0ABEECC7">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2C86EF93" w14:textId="77777777" w:rsidR="00114B42" w:rsidRPr="00114B42" w:rsidRDefault="00114B42" w:rsidP="00114B42">
          <w:pPr>
            <w:spacing w:line="120" w:lineRule="atLeast"/>
            <w:jc w:val="center"/>
            <w:rPr>
              <w:rFonts w:eastAsia="Adobe Fan Heiti Std B"/>
              <w:b/>
              <w:sz w:val="32"/>
              <w:szCs w:val="32"/>
            </w:rPr>
          </w:pPr>
          <w:r w:rsidRPr="00114B42">
            <w:rPr>
              <w:rFonts w:eastAsia="Adobe Fan Heiti Std B"/>
              <w:b/>
              <w:sz w:val="36"/>
              <w:szCs w:val="36"/>
            </w:rPr>
            <w:t>F</w:t>
          </w:r>
          <w:r w:rsidRPr="00114B42">
            <w:rPr>
              <w:rFonts w:eastAsia="Adobe Fan Heiti Std B"/>
              <w:b/>
              <w:sz w:val="32"/>
              <w:szCs w:val="32"/>
            </w:rPr>
            <w:t xml:space="preserve">lorida </w:t>
          </w:r>
          <w:r w:rsidRPr="00114B42">
            <w:rPr>
              <w:rFonts w:eastAsia="Adobe Fan Heiti Std B"/>
              <w:b/>
              <w:sz w:val="36"/>
              <w:szCs w:val="36"/>
            </w:rPr>
            <w:t>D</w:t>
          </w:r>
          <w:r w:rsidRPr="00114B42">
            <w:rPr>
              <w:rFonts w:eastAsia="Adobe Fan Heiti Std B"/>
              <w:b/>
              <w:sz w:val="32"/>
              <w:szCs w:val="32"/>
            </w:rPr>
            <w:t>epartment of</w:t>
          </w:r>
        </w:p>
        <w:p w14:paraId="4FA1B703" w14:textId="77777777" w:rsidR="00114B42" w:rsidRPr="00114B42" w:rsidRDefault="00114B42" w:rsidP="00114B42">
          <w:pPr>
            <w:spacing w:line="120" w:lineRule="atLeast"/>
            <w:jc w:val="center"/>
            <w:rPr>
              <w:rFonts w:eastAsia="Adobe Fan Heiti Std B"/>
              <w:b/>
              <w:sz w:val="32"/>
              <w:szCs w:val="32"/>
            </w:rPr>
          </w:pPr>
          <w:r w:rsidRPr="00114B42">
            <w:rPr>
              <w:rFonts w:eastAsia="Adobe Fan Heiti Std B"/>
              <w:b/>
              <w:sz w:val="36"/>
              <w:szCs w:val="36"/>
            </w:rPr>
            <w:t>E</w:t>
          </w:r>
          <w:r w:rsidRPr="00114B42">
            <w:rPr>
              <w:rFonts w:eastAsia="Adobe Fan Heiti Std B"/>
              <w:b/>
              <w:sz w:val="32"/>
              <w:szCs w:val="32"/>
            </w:rPr>
            <w:t xml:space="preserve">nvironmental </w:t>
          </w:r>
          <w:r w:rsidRPr="00114B42">
            <w:rPr>
              <w:rFonts w:eastAsia="Adobe Fan Heiti Std B"/>
              <w:b/>
              <w:sz w:val="36"/>
              <w:szCs w:val="36"/>
            </w:rPr>
            <w:t>P</w:t>
          </w:r>
          <w:r w:rsidRPr="00114B42">
            <w:rPr>
              <w:rFonts w:eastAsia="Adobe Fan Heiti Std B"/>
              <w:b/>
              <w:sz w:val="32"/>
              <w:szCs w:val="32"/>
            </w:rPr>
            <w:t>rotection</w:t>
          </w:r>
        </w:p>
        <w:p w14:paraId="09F6DB6A" w14:textId="77777777" w:rsidR="00114B42" w:rsidRPr="00114B42" w:rsidRDefault="00114B42" w:rsidP="00114B42">
          <w:pPr>
            <w:spacing w:line="220" w:lineRule="exact"/>
            <w:jc w:val="center"/>
            <w:rPr>
              <w:rFonts w:eastAsia="Adobe Fan Heiti Std B"/>
              <w:b/>
              <w:szCs w:val="22"/>
            </w:rPr>
          </w:pPr>
        </w:p>
        <w:p w14:paraId="5E4C2582" w14:textId="77777777" w:rsidR="00114B42" w:rsidRPr="00114B42" w:rsidRDefault="00114B42" w:rsidP="00114B42">
          <w:pPr>
            <w:jc w:val="center"/>
            <w:rPr>
              <w:szCs w:val="22"/>
            </w:rPr>
          </w:pPr>
          <w:r w:rsidRPr="00114B42">
            <w:rPr>
              <w:szCs w:val="22"/>
            </w:rPr>
            <w:fldChar w:fldCharType="begin"/>
          </w:r>
          <w:r w:rsidRPr="00114B42">
            <w:rPr>
              <w:szCs w:val="22"/>
            </w:rPr>
            <w:instrText xml:space="preserve"> FILLIN  "Enter Address"  \* MERGEFORMAT </w:instrText>
          </w:r>
          <w:r w:rsidRPr="00114B42">
            <w:rPr>
              <w:szCs w:val="22"/>
            </w:rPr>
            <w:fldChar w:fldCharType="separate"/>
          </w:r>
          <w:r w:rsidRPr="00114B42">
            <w:rPr>
              <w:szCs w:val="22"/>
            </w:rPr>
            <w:t>Bob Martinez Center</w:t>
          </w:r>
        </w:p>
        <w:p w14:paraId="2A47C851" w14:textId="77777777" w:rsidR="00114B42" w:rsidRPr="00114B42" w:rsidRDefault="00114B42" w:rsidP="00114B42">
          <w:pPr>
            <w:jc w:val="center"/>
            <w:rPr>
              <w:rFonts w:ascii="Lucida Sans" w:eastAsia="Adobe Fan Heiti Std B" w:hAnsi="Lucida Sans"/>
              <w:szCs w:val="22"/>
            </w:rPr>
          </w:pPr>
          <w:r w:rsidRPr="00114B42">
            <w:rPr>
              <w:szCs w:val="22"/>
            </w:rPr>
            <w:t>2600 Blair Stone Road</w:t>
          </w:r>
          <w:r w:rsidRPr="00114B42">
            <w:rPr>
              <w:szCs w:val="22"/>
            </w:rPr>
            <w:br/>
            <w:t>Tallahassee, Florida 32399-2400</w:t>
          </w:r>
          <w:r w:rsidRPr="00114B42">
            <w:rPr>
              <w:szCs w:val="22"/>
            </w:rPr>
            <w:fldChar w:fldCharType="end"/>
          </w:r>
        </w:p>
      </w:tc>
      <w:tc>
        <w:tcPr>
          <w:tcW w:w="2520" w:type="dxa"/>
        </w:tcPr>
        <w:p w14:paraId="1EDC87F8" w14:textId="77777777" w:rsidR="00114B42" w:rsidRPr="00114B42" w:rsidRDefault="00114B42" w:rsidP="00114B42">
          <w:pPr>
            <w:jc w:val="right"/>
            <w:rPr>
              <w:rFonts w:eastAsia="Adobe Fan Heiti Std B"/>
              <w:szCs w:val="22"/>
            </w:rPr>
          </w:pPr>
          <w:r w:rsidRPr="00114B42">
            <w:rPr>
              <w:rFonts w:eastAsia="Adobe Fan Heiti Std B"/>
              <w:szCs w:val="22"/>
            </w:rPr>
            <w:t>Rick Scott</w:t>
          </w:r>
        </w:p>
        <w:p w14:paraId="0D5905F2" w14:textId="77777777" w:rsidR="00114B42" w:rsidRPr="00114B42" w:rsidRDefault="00114B42" w:rsidP="00114B42">
          <w:pPr>
            <w:spacing w:line="200" w:lineRule="exact"/>
            <w:jc w:val="right"/>
            <w:rPr>
              <w:rFonts w:eastAsia="Adobe Fan Heiti Std B"/>
              <w:szCs w:val="22"/>
            </w:rPr>
          </w:pPr>
          <w:r w:rsidRPr="00114B42">
            <w:rPr>
              <w:rFonts w:eastAsia="Adobe Fan Heiti Std B"/>
              <w:szCs w:val="22"/>
            </w:rPr>
            <w:t>Governor</w:t>
          </w:r>
        </w:p>
        <w:p w14:paraId="2B45C804" w14:textId="77777777" w:rsidR="00114B42" w:rsidRPr="00114B42" w:rsidRDefault="00114B42" w:rsidP="00114B42">
          <w:pPr>
            <w:jc w:val="right"/>
            <w:rPr>
              <w:rFonts w:eastAsia="Adobe Fan Heiti Std B"/>
              <w:szCs w:val="22"/>
            </w:rPr>
          </w:pPr>
        </w:p>
        <w:p w14:paraId="2F1716A6" w14:textId="77777777" w:rsidR="00114B42" w:rsidRPr="00114B42" w:rsidRDefault="00114B42" w:rsidP="00114B42">
          <w:pPr>
            <w:jc w:val="right"/>
            <w:rPr>
              <w:rFonts w:eastAsia="Adobe Fan Heiti Std B"/>
              <w:szCs w:val="22"/>
            </w:rPr>
          </w:pPr>
          <w:r w:rsidRPr="00114B42">
            <w:rPr>
              <w:rFonts w:eastAsia="Adobe Fan Heiti Std B"/>
              <w:szCs w:val="22"/>
            </w:rPr>
            <w:t>Carlos Lopez-Cantera</w:t>
          </w:r>
          <w:r w:rsidRPr="00114B42">
            <w:rPr>
              <w:rFonts w:eastAsia="Adobe Fan Heiti Std B"/>
              <w:szCs w:val="22"/>
            </w:rPr>
            <w:br/>
            <w:t>Lt. Governor</w:t>
          </w:r>
        </w:p>
        <w:p w14:paraId="23CCA5F0" w14:textId="77777777" w:rsidR="00114B42" w:rsidRPr="00114B42" w:rsidRDefault="00114B42" w:rsidP="00114B42">
          <w:pPr>
            <w:jc w:val="right"/>
            <w:rPr>
              <w:rFonts w:eastAsia="Adobe Fan Heiti Std B"/>
              <w:szCs w:val="22"/>
            </w:rPr>
          </w:pPr>
        </w:p>
        <w:p w14:paraId="7D06B489" w14:textId="77777777" w:rsidR="00114B42" w:rsidRPr="00114B42" w:rsidRDefault="00114B42" w:rsidP="00114B42">
          <w:pPr>
            <w:jc w:val="right"/>
            <w:rPr>
              <w:rFonts w:eastAsia="Adobe Fan Heiti Std B"/>
              <w:szCs w:val="22"/>
            </w:rPr>
          </w:pPr>
          <w:r w:rsidRPr="00114B42">
            <w:rPr>
              <w:rFonts w:eastAsia="Adobe Fan Heiti Std B"/>
              <w:szCs w:val="22"/>
            </w:rPr>
            <w:t>Ryan E. Matthews</w:t>
          </w:r>
        </w:p>
        <w:p w14:paraId="0548EF7F" w14:textId="77777777" w:rsidR="00114B42" w:rsidRPr="00114B42" w:rsidRDefault="00114B42" w:rsidP="00114B42">
          <w:pPr>
            <w:jc w:val="right"/>
            <w:rPr>
              <w:rFonts w:ascii="Lucida Sans" w:eastAsia="Adobe Fan Heiti Std B" w:hAnsi="Lucida Sans"/>
              <w:color w:val="006666"/>
              <w:sz w:val="20"/>
            </w:rPr>
          </w:pPr>
          <w:r w:rsidRPr="00114B42">
            <w:rPr>
              <w:rFonts w:eastAsia="Adobe Fan Heiti Std B"/>
              <w:szCs w:val="22"/>
            </w:rPr>
            <w:t>Interim Secretary</w:t>
          </w:r>
        </w:p>
      </w:tc>
    </w:tr>
  </w:tbl>
  <w:p w14:paraId="422E6942" w14:textId="3851EC30" w:rsidR="00114B42" w:rsidRPr="00A977D5" w:rsidRDefault="00221AA1" w:rsidP="00A977D5">
    <w:pPr>
      <w:pStyle w:val="Header"/>
    </w:pPr>
    <w:r>
      <w:rPr>
        <w:noProof/>
      </w:rPr>
      <w:pict w14:anchorId="40B344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2" o:spid="_x0000_s20489" type="#_x0000_t136" style="position:absolute;margin-left:0;margin-top:0;width:509.4pt;height:191pt;rotation:315;z-index:-251640832;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817F1" w14:textId="4D685765" w:rsidR="00114B42" w:rsidRDefault="00221AA1">
    <w:pPr>
      <w:pStyle w:val="Header"/>
    </w:pPr>
    <w:r>
      <w:rPr>
        <w:noProof/>
      </w:rPr>
      <w:pict w14:anchorId="1BC771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60290" o:spid="_x0000_s20487" type="#_x0000_t136" style="position:absolute;margin-left:0;margin-top:0;width:509.4pt;height:191pt;rotation:315;z-index:-251644928;mso-position-horizontal:center;mso-position-horizontal-relative:margin;mso-position-vertical:center;mso-position-vertical-relative:margin" o:allowincell="f" fillcolor="#548dd4 [1951]" stroked="f">
          <v:fill opacity=".5"/>
          <v:textpath style="font-family:&quot;Arial Black&quot;;font-size:1pt" string="Propos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C4F09"/>
    <w:multiLevelType w:val="hybridMultilevel"/>
    <w:tmpl w:val="3C423A76"/>
    <w:lvl w:ilvl="0" w:tplc="CF64C9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9B7C63"/>
    <w:multiLevelType w:val="hybridMultilevel"/>
    <w:tmpl w:val="F16EB9FC"/>
    <w:lvl w:ilvl="0" w:tplc="06D810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B30222"/>
    <w:multiLevelType w:val="hybridMultilevel"/>
    <w:tmpl w:val="26D64FD0"/>
    <w:lvl w:ilvl="0" w:tplc="6776758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5B699E"/>
    <w:multiLevelType w:val="hybridMultilevel"/>
    <w:tmpl w:val="F282293A"/>
    <w:lvl w:ilvl="0" w:tplc="E59C2EA6">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6424CF"/>
    <w:multiLevelType w:val="hybridMultilevel"/>
    <w:tmpl w:val="BE44EC18"/>
    <w:lvl w:ilvl="0" w:tplc="60063912">
      <w:start w:val="1"/>
      <w:numFmt w:val="decimal"/>
      <w:lvlText w:val="FW%1."/>
      <w:lvlJc w:val="left"/>
      <w:pPr>
        <w:tabs>
          <w:tab w:val="num" w:pos="5130"/>
        </w:tabs>
        <w:ind w:left="468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15:restartNumberingAfterBreak="0">
    <w:nsid w:val="1DFD2D80"/>
    <w:multiLevelType w:val="hybridMultilevel"/>
    <w:tmpl w:val="83C23732"/>
    <w:lvl w:ilvl="0" w:tplc="05E4455E">
      <w:start w:val="1"/>
      <w:numFmt w:val="decimal"/>
      <w:lvlText w:val="A.%1."/>
      <w:lvlJc w:val="left"/>
      <w:pPr>
        <w:ind w:left="1080" w:hanging="360"/>
      </w:pPr>
      <w:rPr>
        <w:rFonts w:cs="Times New Roman" w:hint="default"/>
        <w:b/>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A8A36CF"/>
    <w:multiLevelType w:val="hybridMultilevel"/>
    <w:tmpl w:val="06A8AF94"/>
    <w:lvl w:ilvl="0" w:tplc="5DF4E7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4F3E3D"/>
    <w:multiLevelType w:val="hybridMultilevel"/>
    <w:tmpl w:val="D248CC0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8A47BA"/>
    <w:multiLevelType w:val="hybridMultilevel"/>
    <w:tmpl w:val="4AC85406"/>
    <w:lvl w:ilvl="0" w:tplc="1402DC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17529F"/>
    <w:multiLevelType w:val="hybridMultilevel"/>
    <w:tmpl w:val="DCF07E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4E123C18"/>
    <w:multiLevelType w:val="hybridMultilevel"/>
    <w:tmpl w:val="A67A48F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6D8109C">
      <w:start w:val="1"/>
      <w:numFmt w:val="decimal"/>
      <w:lvlText w:val="(%4)"/>
      <w:lvlJc w:val="left"/>
      <w:pPr>
        <w:ind w:left="2880" w:hanging="360"/>
      </w:pPr>
      <w:rPr>
        <w:rFonts w:hint="default"/>
      </w:rPr>
    </w:lvl>
    <w:lvl w:ilvl="4" w:tplc="5B9CDF3E">
      <w:start w:val="1"/>
      <w:numFmt w:val="lowerLetter"/>
      <w:lvlText w:val="(%5)"/>
      <w:lvlJc w:val="left"/>
      <w:pPr>
        <w:ind w:left="3600" w:hanging="360"/>
      </w:pPr>
      <w:rPr>
        <w:rFonts w:hint="default"/>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EB37885"/>
    <w:multiLevelType w:val="hybridMultilevel"/>
    <w:tmpl w:val="9536D4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9E5390"/>
    <w:multiLevelType w:val="hybridMultilevel"/>
    <w:tmpl w:val="E0D4CDA2"/>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AB06522"/>
    <w:multiLevelType w:val="hybridMultilevel"/>
    <w:tmpl w:val="207227C8"/>
    <w:lvl w:ilvl="0" w:tplc="06D810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C8F3318"/>
    <w:multiLevelType w:val="hybridMultilevel"/>
    <w:tmpl w:val="2BEED5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D7A5016"/>
    <w:multiLevelType w:val="hybridMultilevel"/>
    <w:tmpl w:val="06A8AF94"/>
    <w:lvl w:ilvl="0" w:tplc="5DF4E7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F53EA5"/>
    <w:multiLevelType w:val="hybridMultilevel"/>
    <w:tmpl w:val="268E74E4"/>
    <w:lvl w:ilvl="0" w:tplc="06D810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250D87"/>
    <w:multiLevelType w:val="hybridMultilevel"/>
    <w:tmpl w:val="2BEED5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FF17B6B"/>
    <w:multiLevelType w:val="hybridMultilevel"/>
    <w:tmpl w:val="06A8AF94"/>
    <w:lvl w:ilvl="0" w:tplc="5DF4E7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A01EB5"/>
    <w:multiLevelType w:val="hybridMultilevel"/>
    <w:tmpl w:val="59BE23CA"/>
    <w:lvl w:ilvl="0" w:tplc="06D810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3172D73"/>
    <w:multiLevelType w:val="hybridMultilevel"/>
    <w:tmpl w:val="B6E4C17C"/>
    <w:lvl w:ilvl="0" w:tplc="06D810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A540C7"/>
    <w:multiLevelType w:val="hybridMultilevel"/>
    <w:tmpl w:val="95AC898E"/>
    <w:lvl w:ilvl="0" w:tplc="06D810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8571477"/>
    <w:multiLevelType w:val="hybridMultilevel"/>
    <w:tmpl w:val="81B8ED2E"/>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CC57D9"/>
    <w:multiLevelType w:val="hybridMultilevel"/>
    <w:tmpl w:val="E6620296"/>
    <w:lvl w:ilvl="0" w:tplc="5B9CDF3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CE97319"/>
    <w:multiLevelType w:val="hybridMultilevel"/>
    <w:tmpl w:val="93884AFC"/>
    <w:lvl w:ilvl="0" w:tplc="06D810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297E7E"/>
    <w:multiLevelType w:val="hybridMultilevel"/>
    <w:tmpl w:val="F01CFDFC"/>
    <w:lvl w:ilvl="0" w:tplc="5B9CDF3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ECA193B"/>
    <w:multiLevelType w:val="hybridMultilevel"/>
    <w:tmpl w:val="26447D36"/>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8D1C43"/>
    <w:multiLevelType w:val="hybridMultilevel"/>
    <w:tmpl w:val="858CD79E"/>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6C7656"/>
    <w:multiLevelType w:val="hybridMultilevel"/>
    <w:tmpl w:val="290C3ED4"/>
    <w:lvl w:ilvl="0" w:tplc="05E4455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6"/>
  </w:num>
  <w:num w:numId="8">
    <w:abstractNumId w:val="8"/>
  </w:num>
  <w:num w:numId="9">
    <w:abstractNumId w:val="19"/>
  </w:num>
  <w:num w:numId="10">
    <w:abstractNumId w:val="27"/>
  </w:num>
  <w:num w:numId="11">
    <w:abstractNumId w:val="25"/>
  </w:num>
  <w:num w:numId="12">
    <w:abstractNumId w:val="9"/>
  </w:num>
  <w:num w:numId="13">
    <w:abstractNumId w:val="28"/>
  </w:num>
  <w:num w:numId="14">
    <w:abstractNumId w:val="20"/>
  </w:num>
  <w:num w:numId="15">
    <w:abstractNumId w:val="17"/>
  </w:num>
  <w:num w:numId="16">
    <w:abstractNumId w:val="2"/>
  </w:num>
  <w:num w:numId="17">
    <w:abstractNumId w:val="26"/>
  </w:num>
  <w:num w:numId="18">
    <w:abstractNumId w:val="1"/>
  </w:num>
  <w:num w:numId="19">
    <w:abstractNumId w:val="16"/>
  </w:num>
  <w:num w:numId="20">
    <w:abstractNumId w:val="18"/>
  </w:num>
  <w:num w:numId="21">
    <w:abstractNumId w:val="14"/>
  </w:num>
  <w:num w:numId="22">
    <w:abstractNumId w:val="15"/>
  </w:num>
  <w:num w:numId="23">
    <w:abstractNumId w:val="22"/>
  </w:num>
  <w:num w:numId="24">
    <w:abstractNumId w:val="7"/>
  </w:num>
  <w:num w:numId="25">
    <w:abstractNumId w:val="21"/>
  </w:num>
  <w:num w:numId="26">
    <w:abstractNumId w:val="13"/>
  </w:num>
  <w:num w:numId="27">
    <w:abstractNumId w:val="24"/>
  </w:num>
  <w:num w:numId="28">
    <w:abstractNumId w:val="23"/>
  </w:num>
  <w:num w:numId="29">
    <w:abstractNumId w:val="5"/>
  </w:num>
  <w:num w:numId="3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20"/>
  <w:characterSpacingControl w:val="doNotCompress"/>
  <w:hdrShapeDefaults>
    <o:shapedefaults v:ext="edit" spidmax="20502"/>
    <o:shapelayout v:ext="edit">
      <o:idmap v:ext="edit" data="2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3A24"/>
    <w:rsid w:val="00004B5C"/>
    <w:rsid w:val="000111C2"/>
    <w:rsid w:val="00013BC3"/>
    <w:rsid w:val="00016647"/>
    <w:rsid w:val="00017BC5"/>
    <w:rsid w:val="00021C6C"/>
    <w:rsid w:val="000244DF"/>
    <w:rsid w:val="00032CD6"/>
    <w:rsid w:val="00036C36"/>
    <w:rsid w:val="00040A52"/>
    <w:rsid w:val="00042D95"/>
    <w:rsid w:val="000472AF"/>
    <w:rsid w:val="00051325"/>
    <w:rsid w:val="00054BE0"/>
    <w:rsid w:val="000558D1"/>
    <w:rsid w:val="000565F0"/>
    <w:rsid w:val="000575B7"/>
    <w:rsid w:val="00060DE6"/>
    <w:rsid w:val="00066971"/>
    <w:rsid w:val="00071554"/>
    <w:rsid w:val="00071A24"/>
    <w:rsid w:val="000740AA"/>
    <w:rsid w:val="000805D5"/>
    <w:rsid w:val="00080AB7"/>
    <w:rsid w:val="00080B92"/>
    <w:rsid w:val="000823C5"/>
    <w:rsid w:val="00083015"/>
    <w:rsid w:val="00085EC1"/>
    <w:rsid w:val="00087721"/>
    <w:rsid w:val="000912AC"/>
    <w:rsid w:val="000916A9"/>
    <w:rsid w:val="00095444"/>
    <w:rsid w:val="0009603E"/>
    <w:rsid w:val="00097CA8"/>
    <w:rsid w:val="000A0495"/>
    <w:rsid w:val="000A0A5C"/>
    <w:rsid w:val="000A7D76"/>
    <w:rsid w:val="000B0028"/>
    <w:rsid w:val="000B7E1A"/>
    <w:rsid w:val="000C0B20"/>
    <w:rsid w:val="000C1108"/>
    <w:rsid w:val="000C49DE"/>
    <w:rsid w:val="000C5F64"/>
    <w:rsid w:val="000C7342"/>
    <w:rsid w:val="000D0CD8"/>
    <w:rsid w:val="000D34E9"/>
    <w:rsid w:val="000D5DCF"/>
    <w:rsid w:val="000D7A7E"/>
    <w:rsid w:val="000E40A8"/>
    <w:rsid w:val="000F3936"/>
    <w:rsid w:val="00103F3E"/>
    <w:rsid w:val="00106CDE"/>
    <w:rsid w:val="00111332"/>
    <w:rsid w:val="001124C7"/>
    <w:rsid w:val="001127EE"/>
    <w:rsid w:val="0011474C"/>
    <w:rsid w:val="00114B42"/>
    <w:rsid w:val="00115F13"/>
    <w:rsid w:val="00115F98"/>
    <w:rsid w:val="00124497"/>
    <w:rsid w:val="00125582"/>
    <w:rsid w:val="00126A09"/>
    <w:rsid w:val="001274D9"/>
    <w:rsid w:val="0012756C"/>
    <w:rsid w:val="00131897"/>
    <w:rsid w:val="00132DB1"/>
    <w:rsid w:val="00135D80"/>
    <w:rsid w:val="001407E9"/>
    <w:rsid w:val="00141BAD"/>
    <w:rsid w:val="00142915"/>
    <w:rsid w:val="00143B34"/>
    <w:rsid w:val="00143FC9"/>
    <w:rsid w:val="00147329"/>
    <w:rsid w:val="00150E1E"/>
    <w:rsid w:val="00150E7B"/>
    <w:rsid w:val="00151782"/>
    <w:rsid w:val="0015428B"/>
    <w:rsid w:val="00157274"/>
    <w:rsid w:val="00157A87"/>
    <w:rsid w:val="001654D6"/>
    <w:rsid w:val="00165963"/>
    <w:rsid w:val="00170904"/>
    <w:rsid w:val="00172C1F"/>
    <w:rsid w:val="00172E02"/>
    <w:rsid w:val="00174157"/>
    <w:rsid w:val="00180346"/>
    <w:rsid w:val="00181EB3"/>
    <w:rsid w:val="00183E1B"/>
    <w:rsid w:val="00186B07"/>
    <w:rsid w:val="001B08E3"/>
    <w:rsid w:val="001B2675"/>
    <w:rsid w:val="001C04FA"/>
    <w:rsid w:val="001C17D6"/>
    <w:rsid w:val="001D2746"/>
    <w:rsid w:val="001D3996"/>
    <w:rsid w:val="001E1DF4"/>
    <w:rsid w:val="001E5E57"/>
    <w:rsid w:val="001E6ABE"/>
    <w:rsid w:val="001F4A9E"/>
    <w:rsid w:val="001F6354"/>
    <w:rsid w:val="001F663E"/>
    <w:rsid w:val="001F71D4"/>
    <w:rsid w:val="00203522"/>
    <w:rsid w:val="002151F0"/>
    <w:rsid w:val="00220416"/>
    <w:rsid w:val="00221AA1"/>
    <w:rsid w:val="002221C1"/>
    <w:rsid w:val="002228EC"/>
    <w:rsid w:val="00223792"/>
    <w:rsid w:val="00227376"/>
    <w:rsid w:val="002405F4"/>
    <w:rsid w:val="00240650"/>
    <w:rsid w:val="0024401E"/>
    <w:rsid w:val="00244CBE"/>
    <w:rsid w:val="00253E4E"/>
    <w:rsid w:val="00261CDA"/>
    <w:rsid w:val="00265369"/>
    <w:rsid w:val="0027435D"/>
    <w:rsid w:val="00276CD2"/>
    <w:rsid w:val="00277D9A"/>
    <w:rsid w:val="00281C47"/>
    <w:rsid w:val="00284471"/>
    <w:rsid w:val="00285BD1"/>
    <w:rsid w:val="00287D39"/>
    <w:rsid w:val="002936F1"/>
    <w:rsid w:val="002A4FE4"/>
    <w:rsid w:val="002A6EA9"/>
    <w:rsid w:val="002B1F33"/>
    <w:rsid w:val="002B2FF8"/>
    <w:rsid w:val="002B377A"/>
    <w:rsid w:val="002B7916"/>
    <w:rsid w:val="002C6C2D"/>
    <w:rsid w:val="002D0B3E"/>
    <w:rsid w:val="002D0DDF"/>
    <w:rsid w:val="002D1C5F"/>
    <w:rsid w:val="002D2261"/>
    <w:rsid w:val="002D61E2"/>
    <w:rsid w:val="002E0EEF"/>
    <w:rsid w:val="002E3366"/>
    <w:rsid w:val="002E6286"/>
    <w:rsid w:val="002E66AD"/>
    <w:rsid w:val="002E7A91"/>
    <w:rsid w:val="002E7F87"/>
    <w:rsid w:val="002F1344"/>
    <w:rsid w:val="002F4D75"/>
    <w:rsid w:val="00307226"/>
    <w:rsid w:val="00311053"/>
    <w:rsid w:val="00312384"/>
    <w:rsid w:val="00313309"/>
    <w:rsid w:val="00317DDB"/>
    <w:rsid w:val="00321CFA"/>
    <w:rsid w:val="00325927"/>
    <w:rsid w:val="00334634"/>
    <w:rsid w:val="00354E51"/>
    <w:rsid w:val="00357EEB"/>
    <w:rsid w:val="003609A3"/>
    <w:rsid w:val="00360D38"/>
    <w:rsid w:val="00361115"/>
    <w:rsid w:val="0036175B"/>
    <w:rsid w:val="003633A7"/>
    <w:rsid w:val="00363FDF"/>
    <w:rsid w:val="003656C8"/>
    <w:rsid w:val="003661DC"/>
    <w:rsid w:val="00367DD1"/>
    <w:rsid w:val="00371C74"/>
    <w:rsid w:val="00371F44"/>
    <w:rsid w:val="0037214F"/>
    <w:rsid w:val="003752D6"/>
    <w:rsid w:val="0037647C"/>
    <w:rsid w:val="0038137D"/>
    <w:rsid w:val="00385D0C"/>
    <w:rsid w:val="0039614D"/>
    <w:rsid w:val="00396E27"/>
    <w:rsid w:val="00397B75"/>
    <w:rsid w:val="003A1C9C"/>
    <w:rsid w:val="003A699C"/>
    <w:rsid w:val="003B1779"/>
    <w:rsid w:val="003B62B8"/>
    <w:rsid w:val="003B6DC5"/>
    <w:rsid w:val="003B7675"/>
    <w:rsid w:val="003C0DA6"/>
    <w:rsid w:val="003C1BB3"/>
    <w:rsid w:val="003D1146"/>
    <w:rsid w:val="003D3076"/>
    <w:rsid w:val="003F3CD7"/>
    <w:rsid w:val="003F4196"/>
    <w:rsid w:val="003F48EC"/>
    <w:rsid w:val="00400E6C"/>
    <w:rsid w:val="00402A1A"/>
    <w:rsid w:val="0040602D"/>
    <w:rsid w:val="0040654E"/>
    <w:rsid w:val="0040718F"/>
    <w:rsid w:val="00410377"/>
    <w:rsid w:val="004128C5"/>
    <w:rsid w:val="00413CAC"/>
    <w:rsid w:val="00414429"/>
    <w:rsid w:val="004204DE"/>
    <w:rsid w:val="00420DC6"/>
    <w:rsid w:val="00423A47"/>
    <w:rsid w:val="004245FF"/>
    <w:rsid w:val="004251AB"/>
    <w:rsid w:val="004322D1"/>
    <w:rsid w:val="00433348"/>
    <w:rsid w:val="0043375B"/>
    <w:rsid w:val="0044253A"/>
    <w:rsid w:val="00444A19"/>
    <w:rsid w:val="00451CB8"/>
    <w:rsid w:val="0045281A"/>
    <w:rsid w:val="00452B98"/>
    <w:rsid w:val="004531FB"/>
    <w:rsid w:val="0045498D"/>
    <w:rsid w:val="00457C38"/>
    <w:rsid w:val="00462791"/>
    <w:rsid w:val="004642C4"/>
    <w:rsid w:val="00471D30"/>
    <w:rsid w:val="004821F2"/>
    <w:rsid w:val="004837EA"/>
    <w:rsid w:val="0048625E"/>
    <w:rsid w:val="004870C1"/>
    <w:rsid w:val="00492E52"/>
    <w:rsid w:val="00493DBE"/>
    <w:rsid w:val="0049740F"/>
    <w:rsid w:val="004A094E"/>
    <w:rsid w:val="004A234B"/>
    <w:rsid w:val="004A6812"/>
    <w:rsid w:val="004A6969"/>
    <w:rsid w:val="004A6A4A"/>
    <w:rsid w:val="004B41CD"/>
    <w:rsid w:val="004B723E"/>
    <w:rsid w:val="004C1CD8"/>
    <w:rsid w:val="004C4A19"/>
    <w:rsid w:val="004D1133"/>
    <w:rsid w:val="004D1178"/>
    <w:rsid w:val="004D17E2"/>
    <w:rsid w:val="004D1A89"/>
    <w:rsid w:val="004E4F19"/>
    <w:rsid w:val="004F232F"/>
    <w:rsid w:val="004F3E6A"/>
    <w:rsid w:val="004F63D8"/>
    <w:rsid w:val="005009A5"/>
    <w:rsid w:val="005036A7"/>
    <w:rsid w:val="005041CB"/>
    <w:rsid w:val="00513D06"/>
    <w:rsid w:val="005214EF"/>
    <w:rsid w:val="00525CAE"/>
    <w:rsid w:val="00525DF1"/>
    <w:rsid w:val="005268E3"/>
    <w:rsid w:val="00530238"/>
    <w:rsid w:val="0053171C"/>
    <w:rsid w:val="00531A5D"/>
    <w:rsid w:val="00532B1C"/>
    <w:rsid w:val="00533355"/>
    <w:rsid w:val="00533828"/>
    <w:rsid w:val="00534EC7"/>
    <w:rsid w:val="005660A7"/>
    <w:rsid w:val="005665F6"/>
    <w:rsid w:val="00571599"/>
    <w:rsid w:val="00571D28"/>
    <w:rsid w:val="00572223"/>
    <w:rsid w:val="005739CC"/>
    <w:rsid w:val="005745DD"/>
    <w:rsid w:val="005746AB"/>
    <w:rsid w:val="00582957"/>
    <w:rsid w:val="00583892"/>
    <w:rsid w:val="00592F03"/>
    <w:rsid w:val="00596C89"/>
    <w:rsid w:val="005A11F6"/>
    <w:rsid w:val="005A3325"/>
    <w:rsid w:val="005A6039"/>
    <w:rsid w:val="005A6A78"/>
    <w:rsid w:val="005A7D79"/>
    <w:rsid w:val="005B0462"/>
    <w:rsid w:val="005B0DB5"/>
    <w:rsid w:val="005B33BE"/>
    <w:rsid w:val="005B3745"/>
    <w:rsid w:val="005C5971"/>
    <w:rsid w:val="005C6D9F"/>
    <w:rsid w:val="005D3995"/>
    <w:rsid w:val="005D5AE1"/>
    <w:rsid w:val="005E03A3"/>
    <w:rsid w:val="005E6D92"/>
    <w:rsid w:val="005F029C"/>
    <w:rsid w:val="005F7357"/>
    <w:rsid w:val="005F79CF"/>
    <w:rsid w:val="006010B5"/>
    <w:rsid w:val="0060369A"/>
    <w:rsid w:val="00605BE5"/>
    <w:rsid w:val="0060702C"/>
    <w:rsid w:val="0061064B"/>
    <w:rsid w:val="00613505"/>
    <w:rsid w:val="006144AF"/>
    <w:rsid w:val="0061566B"/>
    <w:rsid w:val="00620538"/>
    <w:rsid w:val="00620B66"/>
    <w:rsid w:val="006220A0"/>
    <w:rsid w:val="00623543"/>
    <w:rsid w:val="00630619"/>
    <w:rsid w:val="00630F04"/>
    <w:rsid w:val="006311D3"/>
    <w:rsid w:val="00636F73"/>
    <w:rsid w:val="0064029B"/>
    <w:rsid w:val="00642A55"/>
    <w:rsid w:val="006521DB"/>
    <w:rsid w:val="00652A2D"/>
    <w:rsid w:val="00653783"/>
    <w:rsid w:val="00653F7D"/>
    <w:rsid w:val="00655013"/>
    <w:rsid w:val="006561AD"/>
    <w:rsid w:val="006569E6"/>
    <w:rsid w:val="00657025"/>
    <w:rsid w:val="00663631"/>
    <w:rsid w:val="006722B2"/>
    <w:rsid w:val="006728CE"/>
    <w:rsid w:val="00675D4D"/>
    <w:rsid w:val="0068159F"/>
    <w:rsid w:val="006834B2"/>
    <w:rsid w:val="0068466D"/>
    <w:rsid w:val="0068523A"/>
    <w:rsid w:val="006861AD"/>
    <w:rsid w:val="006910A9"/>
    <w:rsid w:val="00695C60"/>
    <w:rsid w:val="006A3D8C"/>
    <w:rsid w:val="006A69A6"/>
    <w:rsid w:val="006A716B"/>
    <w:rsid w:val="006B24D1"/>
    <w:rsid w:val="006B44FA"/>
    <w:rsid w:val="006B45FE"/>
    <w:rsid w:val="006B47E9"/>
    <w:rsid w:val="006B7012"/>
    <w:rsid w:val="006C2E1B"/>
    <w:rsid w:val="006C3B60"/>
    <w:rsid w:val="006C4C2C"/>
    <w:rsid w:val="006D1595"/>
    <w:rsid w:val="006D5F73"/>
    <w:rsid w:val="006E18E2"/>
    <w:rsid w:val="006E192E"/>
    <w:rsid w:val="006F3C01"/>
    <w:rsid w:val="006F4429"/>
    <w:rsid w:val="007008DB"/>
    <w:rsid w:val="00702221"/>
    <w:rsid w:val="00705920"/>
    <w:rsid w:val="00706041"/>
    <w:rsid w:val="00706381"/>
    <w:rsid w:val="007155AF"/>
    <w:rsid w:val="00720CFE"/>
    <w:rsid w:val="00721F74"/>
    <w:rsid w:val="00722655"/>
    <w:rsid w:val="00726A97"/>
    <w:rsid w:val="007352AC"/>
    <w:rsid w:val="007364BA"/>
    <w:rsid w:val="00743537"/>
    <w:rsid w:val="00745B33"/>
    <w:rsid w:val="00751201"/>
    <w:rsid w:val="007524F7"/>
    <w:rsid w:val="00753536"/>
    <w:rsid w:val="0076115A"/>
    <w:rsid w:val="00761833"/>
    <w:rsid w:val="00765AD2"/>
    <w:rsid w:val="00765E3E"/>
    <w:rsid w:val="007672B1"/>
    <w:rsid w:val="00771018"/>
    <w:rsid w:val="00773906"/>
    <w:rsid w:val="00780F01"/>
    <w:rsid w:val="007832B3"/>
    <w:rsid w:val="007837FB"/>
    <w:rsid w:val="007849BF"/>
    <w:rsid w:val="00787F64"/>
    <w:rsid w:val="007917E4"/>
    <w:rsid w:val="007959FA"/>
    <w:rsid w:val="007A4B47"/>
    <w:rsid w:val="007A6DC5"/>
    <w:rsid w:val="007B41E5"/>
    <w:rsid w:val="007B56F8"/>
    <w:rsid w:val="007C1680"/>
    <w:rsid w:val="007C2149"/>
    <w:rsid w:val="007C3361"/>
    <w:rsid w:val="007C5688"/>
    <w:rsid w:val="007C5993"/>
    <w:rsid w:val="007C667F"/>
    <w:rsid w:val="007C7B98"/>
    <w:rsid w:val="007D1C4B"/>
    <w:rsid w:val="007D234A"/>
    <w:rsid w:val="007D626D"/>
    <w:rsid w:val="007E195C"/>
    <w:rsid w:val="007E40FA"/>
    <w:rsid w:val="007E6793"/>
    <w:rsid w:val="007E691B"/>
    <w:rsid w:val="007F53F5"/>
    <w:rsid w:val="007F5FD3"/>
    <w:rsid w:val="0080059D"/>
    <w:rsid w:val="00804B7D"/>
    <w:rsid w:val="00810CD5"/>
    <w:rsid w:val="008179B0"/>
    <w:rsid w:val="008229C1"/>
    <w:rsid w:val="00822CC8"/>
    <w:rsid w:val="00823EF1"/>
    <w:rsid w:val="00827060"/>
    <w:rsid w:val="00827E82"/>
    <w:rsid w:val="008338AE"/>
    <w:rsid w:val="00834404"/>
    <w:rsid w:val="00837EDB"/>
    <w:rsid w:val="00843496"/>
    <w:rsid w:val="00843F95"/>
    <w:rsid w:val="0084402F"/>
    <w:rsid w:val="00844A7C"/>
    <w:rsid w:val="008459E4"/>
    <w:rsid w:val="00846D2B"/>
    <w:rsid w:val="00855EC7"/>
    <w:rsid w:val="008562C2"/>
    <w:rsid w:val="00856B0E"/>
    <w:rsid w:val="00857249"/>
    <w:rsid w:val="00865F76"/>
    <w:rsid w:val="00866E49"/>
    <w:rsid w:val="00871753"/>
    <w:rsid w:val="008820F3"/>
    <w:rsid w:val="00890447"/>
    <w:rsid w:val="00892617"/>
    <w:rsid w:val="008B0413"/>
    <w:rsid w:val="008B6FD8"/>
    <w:rsid w:val="008B767D"/>
    <w:rsid w:val="008C3D4F"/>
    <w:rsid w:val="008C59D9"/>
    <w:rsid w:val="008C6F31"/>
    <w:rsid w:val="008D2EB4"/>
    <w:rsid w:val="008E1E47"/>
    <w:rsid w:val="008E6BC8"/>
    <w:rsid w:val="008E7151"/>
    <w:rsid w:val="008F001C"/>
    <w:rsid w:val="008F0061"/>
    <w:rsid w:val="008F2492"/>
    <w:rsid w:val="008F3A66"/>
    <w:rsid w:val="00902036"/>
    <w:rsid w:val="0090276D"/>
    <w:rsid w:val="009035BA"/>
    <w:rsid w:val="00905ECE"/>
    <w:rsid w:val="00906055"/>
    <w:rsid w:val="00907575"/>
    <w:rsid w:val="00913FE3"/>
    <w:rsid w:val="009140FE"/>
    <w:rsid w:val="00915736"/>
    <w:rsid w:val="00915B2F"/>
    <w:rsid w:val="00915B30"/>
    <w:rsid w:val="0091619D"/>
    <w:rsid w:val="00921686"/>
    <w:rsid w:val="009279AE"/>
    <w:rsid w:val="00927E4B"/>
    <w:rsid w:val="00932186"/>
    <w:rsid w:val="0094631E"/>
    <w:rsid w:val="009476C9"/>
    <w:rsid w:val="00950152"/>
    <w:rsid w:val="009573F6"/>
    <w:rsid w:val="0095785A"/>
    <w:rsid w:val="009604AE"/>
    <w:rsid w:val="00960A9A"/>
    <w:rsid w:val="00960AC3"/>
    <w:rsid w:val="00962479"/>
    <w:rsid w:val="009631A9"/>
    <w:rsid w:val="0096339E"/>
    <w:rsid w:val="00966A51"/>
    <w:rsid w:val="00972F54"/>
    <w:rsid w:val="00992153"/>
    <w:rsid w:val="00994970"/>
    <w:rsid w:val="0099559F"/>
    <w:rsid w:val="0099606F"/>
    <w:rsid w:val="009A58CF"/>
    <w:rsid w:val="009C6074"/>
    <w:rsid w:val="009C7754"/>
    <w:rsid w:val="009D03DD"/>
    <w:rsid w:val="009D0532"/>
    <w:rsid w:val="009D1B07"/>
    <w:rsid w:val="009D4DDC"/>
    <w:rsid w:val="009E0ABC"/>
    <w:rsid w:val="009E10C2"/>
    <w:rsid w:val="009F0075"/>
    <w:rsid w:val="009F3B42"/>
    <w:rsid w:val="00A00CF2"/>
    <w:rsid w:val="00A0345B"/>
    <w:rsid w:val="00A12304"/>
    <w:rsid w:val="00A136EC"/>
    <w:rsid w:val="00A13BBF"/>
    <w:rsid w:val="00A22416"/>
    <w:rsid w:val="00A24CF5"/>
    <w:rsid w:val="00A25020"/>
    <w:rsid w:val="00A27D54"/>
    <w:rsid w:val="00A30956"/>
    <w:rsid w:val="00A32118"/>
    <w:rsid w:val="00A33516"/>
    <w:rsid w:val="00A34C48"/>
    <w:rsid w:val="00A34CD5"/>
    <w:rsid w:val="00A35C68"/>
    <w:rsid w:val="00A42EC4"/>
    <w:rsid w:val="00A45BE9"/>
    <w:rsid w:val="00A532D4"/>
    <w:rsid w:val="00A53CE5"/>
    <w:rsid w:val="00A56D8D"/>
    <w:rsid w:val="00A57DD4"/>
    <w:rsid w:val="00A65083"/>
    <w:rsid w:val="00A729AE"/>
    <w:rsid w:val="00A72FBB"/>
    <w:rsid w:val="00A74727"/>
    <w:rsid w:val="00A77CD0"/>
    <w:rsid w:val="00A8160B"/>
    <w:rsid w:val="00A81F52"/>
    <w:rsid w:val="00A83459"/>
    <w:rsid w:val="00A86472"/>
    <w:rsid w:val="00A87888"/>
    <w:rsid w:val="00A9193B"/>
    <w:rsid w:val="00A921E2"/>
    <w:rsid w:val="00A92D43"/>
    <w:rsid w:val="00A95086"/>
    <w:rsid w:val="00A96306"/>
    <w:rsid w:val="00A977D5"/>
    <w:rsid w:val="00AA2B8B"/>
    <w:rsid w:val="00AA7EFE"/>
    <w:rsid w:val="00AB23B2"/>
    <w:rsid w:val="00AB4804"/>
    <w:rsid w:val="00AC436A"/>
    <w:rsid w:val="00AC4D66"/>
    <w:rsid w:val="00AC6079"/>
    <w:rsid w:val="00AD07D0"/>
    <w:rsid w:val="00AD12BD"/>
    <w:rsid w:val="00AE40BD"/>
    <w:rsid w:val="00AE52ED"/>
    <w:rsid w:val="00AE792A"/>
    <w:rsid w:val="00AF3D06"/>
    <w:rsid w:val="00AF4725"/>
    <w:rsid w:val="00B007CD"/>
    <w:rsid w:val="00B025D9"/>
    <w:rsid w:val="00B05F66"/>
    <w:rsid w:val="00B1111E"/>
    <w:rsid w:val="00B118BD"/>
    <w:rsid w:val="00B12A3B"/>
    <w:rsid w:val="00B1667A"/>
    <w:rsid w:val="00B16FC3"/>
    <w:rsid w:val="00B20DDD"/>
    <w:rsid w:val="00B25ABA"/>
    <w:rsid w:val="00B33237"/>
    <w:rsid w:val="00B419DB"/>
    <w:rsid w:val="00B47776"/>
    <w:rsid w:val="00B477E8"/>
    <w:rsid w:val="00B47D51"/>
    <w:rsid w:val="00B52922"/>
    <w:rsid w:val="00B53885"/>
    <w:rsid w:val="00B53F82"/>
    <w:rsid w:val="00B604FB"/>
    <w:rsid w:val="00B60AF8"/>
    <w:rsid w:val="00B63E8A"/>
    <w:rsid w:val="00B664C1"/>
    <w:rsid w:val="00B70D27"/>
    <w:rsid w:val="00B76620"/>
    <w:rsid w:val="00B8174E"/>
    <w:rsid w:val="00B86B3D"/>
    <w:rsid w:val="00B879E5"/>
    <w:rsid w:val="00B9145E"/>
    <w:rsid w:val="00B96268"/>
    <w:rsid w:val="00BA06F9"/>
    <w:rsid w:val="00BA0DB7"/>
    <w:rsid w:val="00BA480C"/>
    <w:rsid w:val="00BA762F"/>
    <w:rsid w:val="00BB13AE"/>
    <w:rsid w:val="00BB2284"/>
    <w:rsid w:val="00BB24CB"/>
    <w:rsid w:val="00BB24CC"/>
    <w:rsid w:val="00BB403E"/>
    <w:rsid w:val="00BC0B44"/>
    <w:rsid w:val="00BC4026"/>
    <w:rsid w:val="00BD1720"/>
    <w:rsid w:val="00BD7A3B"/>
    <w:rsid w:val="00BE6E64"/>
    <w:rsid w:val="00BE7324"/>
    <w:rsid w:val="00BE7E5E"/>
    <w:rsid w:val="00BF1066"/>
    <w:rsid w:val="00BF1C45"/>
    <w:rsid w:val="00BF788C"/>
    <w:rsid w:val="00BF7C45"/>
    <w:rsid w:val="00C01472"/>
    <w:rsid w:val="00C014E1"/>
    <w:rsid w:val="00C01B12"/>
    <w:rsid w:val="00C02C72"/>
    <w:rsid w:val="00C0325C"/>
    <w:rsid w:val="00C03BA9"/>
    <w:rsid w:val="00C07470"/>
    <w:rsid w:val="00C123FF"/>
    <w:rsid w:val="00C12882"/>
    <w:rsid w:val="00C14978"/>
    <w:rsid w:val="00C155AD"/>
    <w:rsid w:val="00C15FF8"/>
    <w:rsid w:val="00C1603F"/>
    <w:rsid w:val="00C16A0D"/>
    <w:rsid w:val="00C16CA8"/>
    <w:rsid w:val="00C20B7A"/>
    <w:rsid w:val="00C258DF"/>
    <w:rsid w:val="00C52618"/>
    <w:rsid w:val="00C545C7"/>
    <w:rsid w:val="00C603F9"/>
    <w:rsid w:val="00C62D0B"/>
    <w:rsid w:val="00C646A3"/>
    <w:rsid w:val="00C659B5"/>
    <w:rsid w:val="00C66877"/>
    <w:rsid w:val="00C733B4"/>
    <w:rsid w:val="00C75B01"/>
    <w:rsid w:val="00C76455"/>
    <w:rsid w:val="00C850D9"/>
    <w:rsid w:val="00C8560E"/>
    <w:rsid w:val="00C864F2"/>
    <w:rsid w:val="00C87DEF"/>
    <w:rsid w:val="00C903D0"/>
    <w:rsid w:val="00C912EC"/>
    <w:rsid w:val="00C91C5C"/>
    <w:rsid w:val="00C95E6D"/>
    <w:rsid w:val="00C97130"/>
    <w:rsid w:val="00C973C6"/>
    <w:rsid w:val="00CA44AB"/>
    <w:rsid w:val="00CA5BA2"/>
    <w:rsid w:val="00CB0DAA"/>
    <w:rsid w:val="00CB258D"/>
    <w:rsid w:val="00CB77B0"/>
    <w:rsid w:val="00CC10A6"/>
    <w:rsid w:val="00CC4B36"/>
    <w:rsid w:val="00CC7117"/>
    <w:rsid w:val="00CD10E7"/>
    <w:rsid w:val="00D0194F"/>
    <w:rsid w:val="00D03AB9"/>
    <w:rsid w:val="00D04E2D"/>
    <w:rsid w:val="00D0710E"/>
    <w:rsid w:val="00D07701"/>
    <w:rsid w:val="00D07900"/>
    <w:rsid w:val="00D1413D"/>
    <w:rsid w:val="00D155D9"/>
    <w:rsid w:val="00D177BD"/>
    <w:rsid w:val="00D22A3A"/>
    <w:rsid w:val="00D24F82"/>
    <w:rsid w:val="00D2637C"/>
    <w:rsid w:val="00D2710D"/>
    <w:rsid w:val="00D33DF4"/>
    <w:rsid w:val="00D37B36"/>
    <w:rsid w:val="00D416F2"/>
    <w:rsid w:val="00D433B6"/>
    <w:rsid w:val="00D4349C"/>
    <w:rsid w:val="00D45332"/>
    <w:rsid w:val="00D50707"/>
    <w:rsid w:val="00D51F01"/>
    <w:rsid w:val="00D521CD"/>
    <w:rsid w:val="00D5606C"/>
    <w:rsid w:val="00D61ECF"/>
    <w:rsid w:val="00D6398D"/>
    <w:rsid w:val="00D66492"/>
    <w:rsid w:val="00D66F5B"/>
    <w:rsid w:val="00D70271"/>
    <w:rsid w:val="00D71E69"/>
    <w:rsid w:val="00D75F38"/>
    <w:rsid w:val="00D864F2"/>
    <w:rsid w:val="00D86BF0"/>
    <w:rsid w:val="00D87F92"/>
    <w:rsid w:val="00D911B3"/>
    <w:rsid w:val="00D91394"/>
    <w:rsid w:val="00D91F6D"/>
    <w:rsid w:val="00D97494"/>
    <w:rsid w:val="00D97E27"/>
    <w:rsid w:val="00DA1670"/>
    <w:rsid w:val="00DA613C"/>
    <w:rsid w:val="00DB0D86"/>
    <w:rsid w:val="00DB1CBB"/>
    <w:rsid w:val="00DB597A"/>
    <w:rsid w:val="00DC377B"/>
    <w:rsid w:val="00DD6C0C"/>
    <w:rsid w:val="00DD755C"/>
    <w:rsid w:val="00DD799D"/>
    <w:rsid w:val="00DE27F2"/>
    <w:rsid w:val="00E029FC"/>
    <w:rsid w:val="00E04AF0"/>
    <w:rsid w:val="00E07D22"/>
    <w:rsid w:val="00E16FD0"/>
    <w:rsid w:val="00E17C92"/>
    <w:rsid w:val="00E20C87"/>
    <w:rsid w:val="00E214EF"/>
    <w:rsid w:val="00E22806"/>
    <w:rsid w:val="00E30EFC"/>
    <w:rsid w:val="00E314C5"/>
    <w:rsid w:val="00E3394D"/>
    <w:rsid w:val="00E37C67"/>
    <w:rsid w:val="00E404F5"/>
    <w:rsid w:val="00E406AC"/>
    <w:rsid w:val="00E4655F"/>
    <w:rsid w:val="00E504A4"/>
    <w:rsid w:val="00E50809"/>
    <w:rsid w:val="00E530DB"/>
    <w:rsid w:val="00E5424B"/>
    <w:rsid w:val="00E56EFE"/>
    <w:rsid w:val="00E570B4"/>
    <w:rsid w:val="00E6247A"/>
    <w:rsid w:val="00E63ADD"/>
    <w:rsid w:val="00E668AF"/>
    <w:rsid w:val="00E67190"/>
    <w:rsid w:val="00E75652"/>
    <w:rsid w:val="00E821BD"/>
    <w:rsid w:val="00E84547"/>
    <w:rsid w:val="00E8580B"/>
    <w:rsid w:val="00E85A01"/>
    <w:rsid w:val="00E85FE4"/>
    <w:rsid w:val="00E87E61"/>
    <w:rsid w:val="00E9057F"/>
    <w:rsid w:val="00E91931"/>
    <w:rsid w:val="00E91F47"/>
    <w:rsid w:val="00E9378E"/>
    <w:rsid w:val="00E964C2"/>
    <w:rsid w:val="00EA1328"/>
    <w:rsid w:val="00EA1B8E"/>
    <w:rsid w:val="00EA2014"/>
    <w:rsid w:val="00EA755E"/>
    <w:rsid w:val="00EB2A1D"/>
    <w:rsid w:val="00EB428B"/>
    <w:rsid w:val="00EC04C3"/>
    <w:rsid w:val="00EC0629"/>
    <w:rsid w:val="00EC475D"/>
    <w:rsid w:val="00EC68D6"/>
    <w:rsid w:val="00ED1D89"/>
    <w:rsid w:val="00ED717A"/>
    <w:rsid w:val="00EE0808"/>
    <w:rsid w:val="00EF0590"/>
    <w:rsid w:val="00EF63F0"/>
    <w:rsid w:val="00F0234E"/>
    <w:rsid w:val="00F02D4B"/>
    <w:rsid w:val="00F06B4A"/>
    <w:rsid w:val="00F1075B"/>
    <w:rsid w:val="00F110C7"/>
    <w:rsid w:val="00F1731B"/>
    <w:rsid w:val="00F20D01"/>
    <w:rsid w:val="00F226DD"/>
    <w:rsid w:val="00F33DC0"/>
    <w:rsid w:val="00F374EB"/>
    <w:rsid w:val="00F51343"/>
    <w:rsid w:val="00F61CD8"/>
    <w:rsid w:val="00F63348"/>
    <w:rsid w:val="00F66288"/>
    <w:rsid w:val="00F678D0"/>
    <w:rsid w:val="00F764EF"/>
    <w:rsid w:val="00F771E8"/>
    <w:rsid w:val="00F77AF3"/>
    <w:rsid w:val="00F81919"/>
    <w:rsid w:val="00F868F8"/>
    <w:rsid w:val="00F91694"/>
    <w:rsid w:val="00F9270F"/>
    <w:rsid w:val="00F962CF"/>
    <w:rsid w:val="00FA1946"/>
    <w:rsid w:val="00FA3C37"/>
    <w:rsid w:val="00FA4357"/>
    <w:rsid w:val="00FA5059"/>
    <w:rsid w:val="00FB0502"/>
    <w:rsid w:val="00FB0A20"/>
    <w:rsid w:val="00FB633D"/>
    <w:rsid w:val="00FD115E"/>
    <w:rsid w:val="00FD37C1"/>
    <w:rsid w:val="00FD3A4B"/>
    <w:rsid w:val="00FD6307"/>
    <w:rsid w:val="00FE0C03"/>
    <w:rsid w:val="00FE314C"/>
    <w:rsid w:val="00FE5BB1"/>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502"/>
    <o:shapelayout v:ext="edit">
      <o:idmap v:ext="edit" data="1"/>
    </o:shapelayout>
  </w:shapeDefaults>
  <w:decimalSymbol w:val="."/>
  <w:listSeparator w:val=","/>
  <w14:docId w14:val="618290C9"/>
  <w15:docId w15:val="{34DD01C2-AAF3-44DC-923E-C79DDC2E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styleId="PlaceholderText">
    <w:name w:val="Placeholder Text"/>
    <w:basedOn w:val="DefaultParagraphFont"/>
    <w:uiPriority w:val="99"/>
    <w:semiHidden/>
    <w:rsid w:val="00921686"/>
    <w:rPr>
      <w:color w:val="808080"/>
    </w:rPr>
  </w:style>
  <w:style w:type="paragraph" w:styleId="NormalWeb">
    <w:name w:val="Normal (Web)"/>
    <w:basedOn w:val="Normal"/>
    <w:semiHidden/>
    <w:unhideWhenUsed/>
    <w:rsid w:val="005E03A3"/>
    <w:rPr>
      <w:sz w:val="24"/>
      <w:szCs w:val="24"/>
    </w:rPr>
  </w:style>
  <w:style w:type="paragraph" w:styleId="Revision">
    <w:name w:val="Revision"/>
    <w:hidden/>
    <w:uiPriority w:val="99"/>
    <w:semiHidden/>
    <w:rsid w:val="00804B4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1984">
      <w:bodyDiv w:val="1"/>
      <w:marLeft w:val="0"/>
      <w:marRight w:val="0"/>
      <w:marTop w:val="0"/>
      <w:marBottom w:val="0"/>
      <w:divBdr>
        <w:top w:val="none" w:sz="0" w:space="0" w:color="auto"/>
        <w:left w:val="none" w:sz="0" w:space="0" w:color="auto"/>
        <w:bottom w:val="none" w:sz="0" w:space="0" w:color="auto"/>
        <w:right w:val="none" w:sz="0" w:space="0" w:color="auto"/>
      </w:divBdr>
    </w:div>
    <w:div w:id="316761957">
      <w:bodyDiv w:val="1"/>
      <w:marLeft w:val="0"/>
      <w:marRight w:val="0"/>
      <w:marTop w:val="0"/>
      <w:marBottom w:val="0"/>
      <w:divBdr>
        <w:top w:val="none" w:sz="0" w:space="0" w:color="auto"/>
        <w:left w:val="none" w:sz="0" w:space="0" w:color="auto"/>
        <w:bottom w:val="none" w:sz="0" w:space="0" w:color="auto"/>
        <w:right w:val="none" w:sz="0" w:space="0" w:color="auto"/>
      </w:divBdr>
    </w:div>
    <w:div w:id="391392853">
      <w:bodyDiv w:val="1"/>
      <w:marLeft w:val="0"/>
      <w:marRight w:val="0"/>
      <w:marTop w:val="0"/>
      <w:marBottom w:val="0"/>
      <w:divBdr>
        <w:top w:val="none" w:sz="0" w:space="0" w:color="auto"/>
        <w:left w:val="none" w:sz="0" w:space="0" w:color="auto"/>
        <w:bottom w:val="none" w:sz="0" w:space="0" w:color="auto"/>
        <w:right w:val="none" w:sz="0" w:space="0" w:color="auto"/>
      </w:divBdr>
    </w:div>
    <w:div w:id="537624396">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630522207">
      <w:bodyDiv w:val="1"/>
      <w:marLeft w:val="0"/>
      <w:marRight w:val="0"/>
      <w:marTop w:val="0"/>
      <w:marBottom w:val="0"/>
      <w:divBdr>
        <w:top w:val="none" w:sz="0" w:space="0" w:color="auto"/>
        <w:left w:val="none" w:sz="0" w:space="0" w:color="auto"/>
        <w:bottom w:val="none" w:sz="0" w:space="0" w:color="auto"/>
        <w:right w:val="none" w:sz="0" w:space="0" w:color="auto"/>
      </w:divBdr>
    </w:div>
    <w:div w:id="722871572">
      <w:bodyDiv w:val="1"/>
      <w:marLeft w:val="0"/>
      <w:marRight w:val="0"/>
      <w:marTop w:val="0"/>
      <w:marBottom w:val="0"/>
      <w:divBdr>
        <w:top w:val="none" w:sz="0" w:space="0" w:color="auto"/>
        <w:left w:val="none" w:sz="0" w:space="0" w:color="auto"/>
        <w:bottom w:val="none" w:sz="0" w:space="0" w:color="auto"/>
        <w:right w:val="none" w:sz="0" w:space="0" w:color="auto"/>
      </w:divBdr>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64572277">
      <w:bodyDiv w:val="1"/>
      <w:marLeft w:val="0"/>
      <w:marRight w:val="0"/>
      <w:marTop w:val="0"/>
      <w:marBottom w:val="0"/>
      <w:divBdr>
        <w:top w:val="none" w:sz="0" w:space="0" w:color="auto"/>
        <w:left w:val="none" w:sz="0" w:space="0" w:color="auto"/>
        <w:bottom w:val="none" w:sz="0" w:space="0" w:color="auto"/>
        <w:right w:val="none" w:sz="0" w:space="0" w:color="auto"/>
      </w:divBdr>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070350062">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491097134">
      <w:bodyDiv w:val="1"/>
      <w:marLeft w:val="0"/>
      <w:marRight w:val="0"/>
      <w:marTop w:val="0"/>
      <w:marBottom w:val="0"/>
      <w:divBdr>
        <w:top w:val="none" w:sz="0" w:space="0" w:color="auto"/>
        <w:left w:val="none" w:sz="0" w:space="0" w:color="auto"/>
        <w:bottom w:val="none" w:sz="0" w:space="0" w:color="auto"/>
        <w:right w:val="none" w:sz="0" w:space="0" w:color="auto"/>
      </w:divBdr>
    </w:div>
    <w:div w:id="1585601932">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1741324150">
      <w:bodyDiv w:val="1"/>
      <w:marLeft w:val="0"/>
      <w:marRight w:val="0"/>
      <w:marTop w:val="0"/>
      <w:marBottom w:val="0"/>
      <w:divBdr>
        <w:top w:val="none" w:sz="0" w:space="0" w:color="auto"/>
        <w:left w:val="none" w:sz="0" w:space="0" w:color="auto"/>
        <w:bottom w:val="none" w:sz="0" w:space="0" w:color="auto"/>
        <w:right w:val="none" w:sz="0" w:space="0" w:color="auto"/>
      </w:divBdr>
    </w:div>
    <w:div w:id="1887333638">
      <w:bodyDiv w:val="1"/>
      <w:marLeft w:val="0"/>
      <w:marRight w:val="0"/>
      <w:marTop w:val="0"/>
      <w:marBottom w:val="0"/>
      <w:divBdr>
        <w:top w:val="none" w:sz="0" w:space="0" w:color="auto"/>
        <w:left w:val="none" w:sz="0" w:space="0" w:color="auto"/>
        <w:bottom w:val="none" w:sz="0" w:space="0" w:color="auto"/>
        <w:right w:val="none" w:sz="0" w:space="0" w:color="auto"/>
      </w:divBdr>
    </w:div>
    <w:div w:id="1905673739">
      <w:bodyDiv w:val="1"/>
      <w:marLeft w:val="0"/>
      <w:marRight w:val="0"/>
      <w:marTop w:val="0"/>
      <w:marBottom w:val="0"/>
      <w:divBdr>
        <w:top w:val="none" w:sz="0" w:space="0" w:color="auto"/>
        <w:left w:val="none" w:sz="0" w:space="0" w:color="auto"/>
        <w:bottom w:val="none" w:sz="0" w:space="0" w:color="auto"/>
        <w:right w:val="none" w:sz="0" w:space="0" w:color="auto"/>
      </w:divBdr>
    </w:div>
    <w:div w:id="2039358003">
      <w:bodyDiv w:val="1"/>
      <w:marLeft w:val="0"/>
      <w:marRight w:val="0"/>
      <w:marTop w:val="0"/>
      <w:marBottom w:val="0"/>
      <w:divBdr>
        <w:top w:val="none" w:sz="0" w:space="0" w:color="auto"/>
        <w:left w:val="none" w:sz="0" w:space="0" w:color="auto"/>
        <w:bottom w:val="none" w:sz="0" w:space="0" w:color="auto"/>
        <w:right w:val="none" w:sz="0" w:space="0" w:color="auto"/>
      </w:divBdr>
    </w:div>
    <w:div w:id="21160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hyperlink" Target="http://www.ecfr.gov/cgi-bin/text-idx?SID=1c5c0580a531680723e1e42f8991a534&amp;node=sp40.9.61.m&amp;rgn=div6" TargetMode="Externa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yperlink" Target="http://www2.epa.gov/rmp" TargetMode="External"/><Relationship Id="rId38" Type="http://schemas.openxmlformats.org/officeDocument/2006/relationships/hyperlink" Target="http://www.ecfr.gov/cgi-bin/text-idx?SID=c1c5dfa77e5f784ea4bcc0b4be8f4155&amp;node=40:9.0.1.1.1.13&amp;rgn=div6"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yperlink" Target="http://www.dep.state.fl.us/air/emission/tvfee.htm" TargetMode="External"/><Relationship Id="rId4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hyperlink" Target="https://cdx.epa.gov" TargetMode="External"/><Relationship Id="rId37" Type="http://schemas.openxmlformats.org/officeDocument/2006/relationships/hyperlink" Target="http://www.ecfr.gov/cgi-bin/retrieveECFR?gp=118&amp;SID=e29287dc31c56f362da18d4765071422&amp;ty=HTML&amp;h=L&amp;r=SECTION&amp;n=29y5.1.1.1.8.10.34.5" TargetMode="External"/><Relationship Id="rId40"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5.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yperlink" Target="mailto:eaor@dep.state.fl.u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ARM_Permitting@dep.state.fl.us"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yperlink" Target="http://www.dep.state.fl.us/air/emission/eaor" TargetMode="External"/><Relationship Id="rId35" Type="http://schemas.openxmlformats.org/officeDocument/2006/relationships/header" Target="header14.xml"/><Relationship Id="rId43" Type="http://schemas.openxmlformats.org/officeDocument/2006/relationships/fontTable" Target="fontTable.xml"/></Relationships>
</file>

<file path=word/_rels/footer6.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797C2-2A89-453A-AE68-3F0FA55D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3641</TotalTime>
  <Pages>20</Pages>
  <Words>9622</Words>
  <Characters>55280</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64773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Jon Holtom</dc:creator>
  <cp:lastModifiedBy>Read, David</cp:lastModifiedBy>
  <cp:revision>56</cp:revision>
  <cp:lastPrinted>2011-08-02T12:59:00Z</cp:lastPrinted>
  <dcterms:created xsi:type="dcterms:W3CDTF">2016-12-12T20:30:00Z</dcterms:created>
  <dcterms:modified xsi:type="dcterms:W3CDTF">2017-03-24T13:30:00Z</dcterms:modified>
</cp:coreProperties>
</file>